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color w:val="auto"/>
          <w:sz w:val="44"/>
          <w:szCs w:val="44"/>
          <w:highlight w:val="none"/>
        </w:rPr>
      </w:pPr>
      <w:bookmarkStart w:id="0" w:name="RANGE!A1:AH10"/>
      <w:bookmarkEnd w:id="0"/>
      <w:r>
        <w:rPr>
          <w:rFonts w:hint="eastAsia" w:ascii="方正小标宋简体" w:hAnsi="Times New Roman" w:eastAsia="方正小标宋简体" w:cs="Times New Roman"/>
          <w:color w:val="auto"/>
          <w:sz w:val="44"/>
          <w:szCs w:val="44"/>
          <w:highlight w:val="none"/>
        </w:rPr>
        <w:t>霸州市</w:t>
      </w:r>
      <w:r>
        <w:rPr>
          <w:rFonts w:hint="eastAsia" w:ascii="方正小标宋简体" w:hAnsi="Times New Roman" w:eastAsia="方正小标宋简体" w:cs="Times New Roman"/>
          <w:color w:val="auto"/>
          <w:sz w:val="44"/>
          <w:szCs w:val="44"/>
          <w:highlight w:val="none"/>
          <w:lang w:val="en-US" w:eastAsia="zh-CN"/>
        </w:rPr>
        <w:t>人民政府信访局</w:t>
      </w:r>
      <w:r>
        <w:rPr>
          <w:rFonts w:hint="eastAsia" w:ascii="方正小标宋简体" w:hAnsi="Times New Roman" w:eastAsia="方正小标宋简体" w:cs="Times New Roman"/>
          <w:color w:val="auto"/>
          <w:sz w:val="44"/>
          <w:szCs w:val="44"/>
          <w:highlight w:val="none"/>
        </w:rPr>
        <w:t>2019年部门预算信息公开</w:t>
      </w:r>
    </w:p>
    <w:p>
      <w:pPr>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按照《预算法》、《地方预决算公开操作规程》和《河北省省级预算公开办法》规定，现将霸州市人民政府信访局2019年部门预算公开如下：</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一、部门职责及机构设置情况</w:t>
      </w:r>
    </w:p>
    <w:p>
      <w:pPr>
        <w:ind w:firstLine="643" w:firstLineChars="20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部门职责：</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1、贯彻执行《中华人民共和国档案法》、《河北省档案工作条例》等国家、省和市关于档案管理方面的方针、政策和法律、法规、规章。                            </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2、指导全市档案工作，制定全市档案事业发展的综合规划和专项计划，并依法实行宏观管理与监督指导。</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3、拟定档案工作地方性制度和办法，依据有关法律、法规进行档案行政执法和监督。</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4、利用档案为市委、市政府工作服务，向社会公众提供档案查阅、咨询；承担《中华人民共和国信息公开条例》和市政府规定的有关政府信息公开的各项任务。</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5、按照国家统一规定及《河北省档案接收和收集管理办法》，负责市直机关档案系统化管理和接收；负责撤并单位的档案处置和接收工作；有计划地开展档案征集。</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6、依法管理全市档案资料对外交流工作；依法管理全市档案鉴定、档案开放和目录公布。</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7、负责市管企业、重点建设项目档案的监督与指导，会同有关部门对全市重点建设项目档案进行验收，保证重点建设项目档案齐全、完整。</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8、制定全市档案干部队伍建设规划，组织档案专业教育和档案干部培训、表彰，协助做好档案专业技术职务评聘有关工作。</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9、依照国家档案行业标准，制定配套技术规范，组织档案科技和学术交流，提高全市档案工作现代化管理水平。</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 xml:space="preserve"> 10、集中统一管理市直机关、原天津地区、原廊坊地区重要档案资料和历史档案，保守党和国家机密，维护档案完整，确保档案资料安全。</w:t>
      </w:r>
    </w:p>
    <w:p>
      <w:pPr>
        <w:autoSpaceDE w:val="0"/>
        <w:autoSpaceDN w:val="0"/>
        <w:adjustRightInd w:val="0"/>
        <w:ind w:firstLine="640" w:firstLineChars="200"/>
        <w:jc w:val="left"/>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11、承办市委、市政府交办的其他事项。</w:t>
      </w:r>
    </w:p>
    <w:p>
      <w:pPr>
        <w:autoSpaceDE w:val="0"/>
        <w:autoSpaceDN w:val="0"/>
        <w:adjustRightInd w:val="0"/>
        <w:ind w:firstLine="643" w:firstLineChars="200"/>
        <w:jc w:val="left"/>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机构设置：</w:t>
      </w:r>
    </w:p>
    <w:p>
      <w:pPr>
        <w:jc w:val="center"/>
        <w:outlineLvl w:val="0"/>
        <w:rPr>
          <w:rFonts w:ascii="Times New Roman" w:hAnsi="Times New Roman" w:eastAsia="方正小标宋_GBK" w:cs="Times New Roman"/>
          <w:sz w:val="32"/>
          <w:szCs w:val="24"/>
          <w:highlight w:val="none"/>
        </w:rPr>
      </w:pPr>
      <w:r>
        <w:rPr>
          <w:rFonts w:ascii="Times New Roman" w:hAnsi="Times New Roman" w:eastAsia="方正小标宋_GBK" w:cs="Times New Roman"/>
          <w:sz w:val="32"/>
          <w:szCs w:val="24"/>
          <w:highlight w:val="none"/>
        </w:rPr>
        <w:t>部门</w:t>
      </w:r>
      <w:r>
        <w:rPr>
          <w:rFonts w:hint="eastAsia" w:ascii="Times New Roman" w:hAnsi="Times New Roman" w:eastAsia="方正小标宋_GBK" w:cs="Times New Roman"/>
          <w:sz w:val="32"/>
          <w:szCs w:val="24"/>
          <w:highlight w:val="none"/>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highlight w:val="none"/>
              </w:rPr>
            </w:pPr>
            <w:r>
              <w:rPr>
                <w:rFonts w:ascii="Times New Roman" w:hAnsi="Times New Roman" w:eastAsia="方正书宋_GBK" w:cs="Times New Roman"/>
                <w:b/>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highlight w:val="none"/>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highlight w:val="none"/>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highlight w:val="none"/>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highlight w:val="none"/>
              </w:rPr>
            </w:pPr>
            <w:r>
              <w:rPr>
                <w:rFonts w:hint="eastAsia" w:ascii="Times New Roman" w:hAnsi="Times New Roman" w:eastAsia="方正书宋_GBK" w:cs="Times New Roman"/>
                <w:szCs w:val="24"/>
                <w:highlight w:val="none"/>
              </w:rPr>
              <w:t>霸州市信访局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highlight w:val="none"/>
              </w:rPr>
            </w:pPr>
            <w:r>
              <w:rPr>
                <w:rFonts w:hint="eastAsia" w:ascii="Times New Roman" w:hAnsi="Times New Roman" w:eastAsia="方正书宋_GBK" w:cs="Times New Roman"/>
                <w:szCs w:val="24"/>
                <w:highlight w:val="none"/>
              </w:rPr>
              <w:t>全额事业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highlight w:val="none"/>
              </w:rPr>
            </w:pPr>
            <w:r>
              <w:rPr>
                <w:rFonts w:hint="eastAsia" w:ascii="Times New Roman" w:hAnsi="Times New Roman" w:eastAsia="方正书宋_GBK" w:cs="Times New Roman"/>
                <w:szCs w:val="24"/>
                <w:highlight w:val="none"/>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highlight w:val="none"/>
              </w:rPr>
            </w:pPr>
            <w:r>
              <w:rPr>
                <w:rFonts w:hint="eastAsia" w:ascii="Times New Roman" w:hAnsi="Times New Roman" w:eastAsia="方正书宋_GBK" w:cs="Times New Roman"/>
                <w:szCs w:val="24"/>
                <w:highlight w:val="none"/>
              </w:rPr>
              <w:t>财政性资金基本保证</w:t>
            </w:r>
          </w:p>
        </w:tc>
      </w:tr>
    </w:tbl>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二、部门预算安排的总体情况</w:t>
      </w:r>
    </w:p>
    <w:p>
      <w:pPr>
        <w:ind w:firstLine="64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1、收入说明</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反映本部门当年全部收入。2019年预算收入931.65万元，其中：一般公共预算收入931.65万元，政府性基金预算收入</w:t>
      </w:r>
      <w:r>
        <w:rPr>
          <w:rFonts w:hint="eastAsia" w:ascii="仿宋_GB2312" w:hAnsi="Times New Roman" w:eastAsia="仿宋_GB2312" w:cs="Times New Roman"/>
          <w:sz w:val="32"/>
          <w:szCs w:val="32"/>
          <w:highlight w:val="none"/>
          <w:lang w:val="en-US" w:eastAsia="zh-CN"/>
        </w:rPr>
        <w:t>0</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，国有资本经营</w:t>
      </w:r>
      <w:r>
        <w:rPr>
          <w:rFonts w:ascii="仿宋_GB2312" w:hAnsi="Times New Roman" w:eastAsia="仿宋_GB2312" w:cs="Times New Roman"/>
          <w:sz w:val="32"/>
          <w:szCs w:val="32"/>
          <w:highlight w:val="none"/>
        </w:rPr>
        <w:t>预算收入</w:t>
      </w:r>
      <w:r>
        <w:rPr>
          <w:rFonts w:hint="eastAsia" w:ascii="仿宋_GB2312" w:hAnsi="Times New Roman" w:eastAsia="仿宋_GB2312" w:cs="Times New Roman"/>
          <w:sz w:val="32"/>
          <w:szCs w:val="32"/>
          <w:highlight w:val="none"/>
          <w:lang w:val="en-US" w:eastAsia="zh-CN"/>
        </w:rPr>
        <w:t>0</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w:t>
      </w:r>
      <w:r>
        <w:rPr>
          <w:rFonts w:ascii="仿宋_GB2312" w:hAnsi="Times New Roman" w:eastAsia="仿宋_GB2312" w:cs="Times New Roman"/>
          <w:sz w:val="32"/>
          <w:szCs w:val="32"/>
          <w:highlight w:val="none"/>
        </w:rPr>
        <w:t>上级补助收入</w:t>
      </w:r>
      <w:r>
        <w:rPr>
          <w:rFonts w:hint="eastAsia" w:ascii="仿宋_GB2312" w:hAnsi="Times New Roman" w:eastAsia="仿宋_GB2312" w:cs="Times New Roman"/>
          <w:sz w:val="32"/>
          <w:szCs w:val="32"/>
          <w:highlight w:val="none"/>
          <w:lang w:val="en-US" w:eastAsia="zh-CN"/>
        </w:rPr>
        <w:t>0</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事业收入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万元，经营</w:t>
      </w:r>
      <w:r>
        <w:rPr>
          <w:rFonts w:ascii="仿宋_GB2312" w:hAnsi="Times New Roman" w:eastAsia="仿宋_GB2312" w:cs="Times New Roman"/>
          <w:sz w:val="32"/>
          <w:szCs w:val="32"/>
          <w:highlight w:val="none"/>
        </w:rPr>
        <w:t>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万元，附属单位上缴</w:t>
      </w:r>
      <w:r>
        <w:rPr>
          <w:rFonts w:ascii="仿宋_GB2312" w:hAnsi="Times New Roman" w:eastAsia="仿宋_GB2312" w:cs="Times New Roman"/>
          <w:sz w:val="32"/>
          <w:szCs w:val="32"/>
          <w:highlight w:val="none"/>
        </w:rPr>
        <w:t>收入</w:t>
      </w:r>
      <w:r>
        <w:rPr>
          <w:rFonts w:hint="eastAsia" w:ascii="仿宋_GB2312" w:hAnsi="Times New Roman" w:eastAsia="仿宋_GB2312" w:cs="Times New Roman"/>
          <w:sz w:val="32"/>
          <w:szCs w:val="32"/>
          <w:highlight w:val="none"/>
          <w:lang w:val="en-US" w:eastAsia="zh-CN"/>
        </w:rPr>
        <w:t>0</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其他收入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w:t>
      </w:r>
    </w:p>
    <w:p>
      <w:pPr>
        <w:ind w:firstLine="64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2、支出说明</w:t>
      </w:r>
    </w:p>
    <w:p>
      <w:pPr>
        <w:ind w:firstLine="64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收支预算总表支出栏、基本支出表、项目支出表按经济分类和支出功能分类科目编制，反映霸州市人民政府信访局2019年度部门预算中支出预算的总体情况。2019年本部门支出预算931.65万元，其中：基本支出456.93万元，包括：人员经费406.27</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和日常公用经费50.66</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；项目支出474.72万元，全部为本级</w:t>
      </w:r>
      <w:r>
        <w:rPr>
          <w:rFonts w:ascii="仿宋_GB2312" w:hAnsi="Times New Roman" w:eastAsia="仿宋_GB2312" w:cs="Times New Roman"/>
          <w:sz w:val="32"/>
          <w:szCs w:val="32"/>
          <w:highlight w:val="none"/>
        </w:rPr>
        <w:t>支出，</w:t>
      </w:r>
      <w:r>
        <w:rPr>
          <w:rFonts w:hint="eastAsia" w:ascii="仿宋_GB2312" w:hAnsi="Times New Roman" w:eastAsia="仿宋_GB2312" w:cs="Times New Roman"/>
          <w:sz w:val="32"/>
          <w:szCs w:val="32"/>
          <w:highlight w:val="none"/>
        </w:rPr>
        <w:t>主要为信访业务经费、解决特殊疑难信访专项资金；上缴上级支出</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w:t>
      </w:r>
      <w:r>
        <w:rPr>
          <w:rFonts w:ascii="仿宋_GB2312" w:hAnsi="Times New Roman" w:eastAsia="仿宋_GB2312" w:cs="Times New Roman"/>
          <w:sz w:val="32"/>
          <w:szCs w:val="32"/>
          <w:highlight w:val="none"/>
        </w:rPr>
        <w:t>经营支出</w:t>
      </w:r>
      <w:r>
        <w:rPr>
          <w:rFonts w:hint="eastAsia" w:ascii="仿宋_GB2312" w:hAnsi="Times New Roman" w:eastAsia="仿宋_GB2312" w:cs="Times New Roman"/>
          <w:sz w:val="32"/>
          <w:szCs w:val="32"/>
          <w:highlight w:val="none"/>
          <w:lang w:val="en-US" w:eastAsia="zh-CN"/>
        </w:rPr>
        <w:t>0</w:t>
      </w:r>
      <w:r>
        <w:rPr>
          <w:rFonts w:ascii="仿宋_GB2312" w:hAnsi="Times New Roman" w:eastAsia="仿宋_GB2312" w:cs="Times New Roman"/>
          <w:sz w:val="32"/>
          <w:szCs w:val="32"/>
          <w:highlight w:val="none"/>
        </w:rPr>
        <w:t>万元，</w:t>
      </w:r>
      <w:r>
        <w:rPr>
          <w:rFonts w:hint="eastAsia" w:ascii="仿宋_GB2312" w:hAnsi="Times New Roman" w:eastAsia="仿宋_GB2312" w:cs="Times New Roman"/>
          <w:sz w:val="32"/>
          <w:szCs w:val="32"/>
          <w:highlight w:val="none"/>
        </w:rPr>
        <w:t>对附属单位补助支出</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w:t>
      </w:r>
    </w:p>
    <w:p>
      <w:pPr>
        <w:ind w:firstLine="64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3、比上年增减情况</w:t>
      </w:r>
    </w:p>
    <w:p>
      <w:pPr>
        <w:ind w:firstLine="640"/>
        <w:rPr>
          <w:rFonts w:ascii="仿宋_GB2312" w:hAnsi="黑体" w:eastAsia="仿宋_GB2312" w:cs="Times New Roman"/>
          <w:color w:val="000000" w:themeColor="text1"/>
          <w:sz w:val="32"/>
          <w:szCs w:val="32"/>
          <w:highlight w:val="none"/>
        </w:rPr>
      </w:pPr>
      <w:r>
        <w:rPr>
          <w:rFonts w:hint="eastAsia" w:ascii="仿宋_GB2312" w:hAnsi="Times New Roman" w:eastAsia="仿宋_GB2312" w:cs="Times New Roman"/>
          <w:color w:val="000000" w:themeColor="text1"/>
          <w:sz w:val="32"/>
          <w:szCs w:val="32"/>
          <w:highlight w:val="none"/>
        </w:rPr>
        <w:t>2019年预算收支安排931.65万元，较2018年预算增加</w:t>
      </w:r>
      <w:r>
        <w:rPr>
          <w:rFonts w:hint="eastAsia" w:ascii="仿宋_GB2312" w:hAnsi="Times New Roman" w:eastAsia="仿宋_GB2312" w:cs="Times New Roman"/>
          <w:color w:val="000000" w:themeColor="text1"/>
          <w:sz w:val="32"/>
          <w:szCs w:val="32"/>
          <w:highlight w:val="none"/>
          <w:lang w:val="en-US" w:eastAsia="zh-CN"/>
        </w:rPr>
        <w:t>152.14</w:t>
      </w:r>
      <w:r>
        <w:rPr>
          <w:rFonts w:hint="eastAsia" w:ascii="仿宋_GB2312" w:hAnsi="Times New Roman" w:eastAsia="仿宋_GB2312" w:cs="Times New Roman"/>
          <w:color w:val="000000" w:themeColor="text1"/>
          <w:sz w:val="32"/>
          <w:szCs w:val="32"/>
          <w:highlight w:val="none"/>
        </w:rPr>
        <w:t>万元，其中：基本支出增加</w:t>
      </w:r>
      <w:r>
        <w:rPr>
          <w:rFonts w:hint="eastAsia" w:ascii="仿宋_GB2312" w:hAnsi="Times New Roman" w:eastAsia="仿宋_GB2312" w:cs="Times New Roman"/>
          <w:color w:val="000000" w:themeColor="text1"/>
          <w:sz w:val="32"/>
          <w:szCs w:val="32"/>
          <w:highlight w:val="none"/>
          <w:lang w:val="en-US" w:eastAsia="zh-CN"/>
        </w:rPr>
        <w:t>59.42</w:t>
      </w:r>
      <w:r>
        <w:rPr>
          <w:rFonts w:hint="eastAsia" w:ascii="仿宋_GB2312" w:hAnsi="Times New Roman" w:eastAsia="仿宋_GB2312" w:cs="Times New Roman"/>
          <w:color w:val="000000" w:themeColor="text1"/>
          <w:sz w:val="32"/>
          <w:szCs w:val="32"/>
          <w:highlight w:val="none"/>
        </w:rPr>
        <w:t>万元，主要为</w:t>
      </w:r>
      <w:r>
        <w:rPr>
          <w:rFonts w:hint="eastAsia" w:ascii="仿宋_GB2312" w:hAnsi="Times New Roman" w:eastAsia="仿宋_GB2312" w:cs="Times New Roman"/>
          <w:color w:val="000000" w:themeColor="text1"/>
          <w:sz w:val="32"/>
          <w:szCs w:val="32"/>
          <w:highlight w:val="none"/>
          <w:lang w:val="en-US" w:eastAsia="zh-CN"/>
        </w:rPr>
        <w:t>工资调整产生的增加支出</w:t>
      </w:r>
      <w:r>
        <w:rPr>
          <w:rFonts w:hint="eastAsia" w:ascii="仿宋_GB2312" w:hAnsi="Times New Roman" w:eastAsia="仿宋_GB2312" w:cs="Times New Roman"/>
          <w:color w:val="000000" w:themeColor="text1"/>
          <w:sz w:val="32"/>
          <w:szCs w:val="32"/>
          <w:highlight w:val="none"/>
        </w:rPr>
        <w:t>；项目支出增加</w:t>
      </w:r>
      <w:r>
        <w:rPr>
          <w:rFonts w:hint="eastAsia" w:ascii="仿宋_GB2312" w:hAnsi="Times New Roman" w:eastAsia="仿宋_GB2312" w:cs="Times New Roman"/>
          <w:color w:val="000000" w:themeColor="text1"/>
          <w:sz w:val="32"/>
          <w:szCs w:val="32"/>
          <w:highlight w:val="none"/>
          <w:lang w:val="en-US" w:eastAsia="zh-CN"/>
        </w:rPr>
        <w:t>92.72</w:t>
      </w:r>
      <w:r>
        <w:rPr>
          <w:rFonts w:hint="eastAsia" w:ascii="仿宋_GB2312" w:hAnsi="Times New Roman" w:eastAsia="仿宋_GB2312" w:cs="Times New Roman"/>
          <w:color w:val="000000" w:themeColor="text1"/>
          <w:sz w:val="32"/>
          <w:szCs w:val="32"/>
          <w:highlight w:val="none"/>
        </w:rPr>
        <w:t>万元，主要为</w:t>
      </w:r>
      <w:r>
        <w:rPr>
          <w:rFonts w:hint="eastAsia" w:ascii="仿宋_GB2312" w:hAnsi="Times New Roman" w:eastAsia="仿宋_GB2312" w:cs="Times New Roman"/>
          <w:color w:val="000000" w:themeColor="text1"/>
          <w:sz w:val="32"/>
          <w:szCs w:val="32"/>
          <w:highlight w:val="none"/>
          <w:lang w:val="en-US" w:eastAsia="zh-CN"/>
        </w:rPr>
        <w:t>建国70周年产生维稳力度增大的</w:t>
      </w:r>
      <w:r>
        <w:rPr>
          <w:rFonts w:hint="eastAsia" w:ascii="仿宋_GB2312" w:hAnsi="Times New Roman" w:eastAsia="仿宋_GB2312" w:cs="Times New Roman"/>
          <w:color w:val="000000" w:themeColor="text1"/>
          <w:sz w:val="32"/>
          <w:szCs w:val="32"/>
          <w:highlight w:val="none"/>
        </w:rPr>
        <w:t>项目支出。</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三、机关运行经费安排情况</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机关运行经费共计安排</w:t>
      </w:r>
      <w:r>
        <w:rPr>
          <w:rFonts w:hint="eastAsia" w:ascii="仿宋_GB2312" w:hAnsi="Times New Roman" w:eastAsia="仿宋_GB2312" w:cs="Times New Roman"/>
          <w:sz w:val="32"/>
          <w:szCs w:val="32"/>
          <w:highlight w:val="none"/>
          <w:lang w:val="en-US" w:eastAsia="zh-CN"/>
        </w:rPr>
        <w:t>50.66</w:t>
      </w:r>
      <w:r>
        <w:rPr>
          <w:rFonts w:hint="eastAsia" w:ascii="仿宋_GB2312" w:hAnsi="Times New Roman" w:eastAsia="仿宋_GB2312" w:cs="Times New Roman"/>
          <w:sz w:val="32"/>
          <w:szCs w:val="32"/>
          <w:highlight w:val="none"/>
        </w:rPr>
        <w:t>万元，主要用于办公区的日常维修、办公用房水电费、办公用房取暖费、办公及印刷费，邮电费、差旅费、福利费、培训费</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办公用房物业管理费、公务用车运行维护费等日常运行支出。</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四、财政拨款</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三公</w:t>
      </w:r>
      <w:r>
        <w:rPr>
          <w:rFonts w:ascii="黑体" w:hAnsi="黑体" w:eastAsia="黑体" w:cs="Times New Roman"/>
          <w:sz w:val="32"/>
          <w:szCs w:val="32"/>
          <w:highlight w:val="none"/>
        </w:rPr>
        <w:t>”</w:t>
      </w:r>
      <w:r>
        <w:rPr>
          <w:rFonts w:hint="eastAsia" w:ascii="黑体" w:hAnsi="黑体" w:eastAsia="黑体" w:cs="Times New Roman"/>
          <w:sz w:val="32"/>
          <w:szCs w:val="32"/>
          <w:highlight w:val="none"/>
        </w:rPr>
        <w:t>经费预算情况及增减变化原因</w:t>
      </w:r>
    </w:p>
    <w:p>
      <w:pPr>
        <w:ind w:firstLine="640"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sz w:val="32"/>
          <w:szCs w:val="32"/>
          <w:highlight w:val="none"/>
        </w:rPr>
        <w:t>2019年，我部门“三公”经费预算安排2.88万元，其中：因公出国（境）费</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万元；公务用车购置及运维费2.5</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万元（其中：公务用车购置费</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万元，公务用车运行维护费2.5万元)；公务接待费0.38万元，较2018年“三公”经费减</w:t>
      </w:r>
      <w:r>
        <w:rPr>
          <w:rFonts w:hint="eastAsia" w:ascii="仿宋_GB2312" w:hAnsi="Times New Roman" w:eastAsia="仿宋_GB2312" w:cs="Times New Roman"/>
          <w:sz w:val="32"/>
          <w:szCs w:val="32"/>
          <w:highlight w:val="none"/>
          <w:lang w:val="en-US" w:eastAsia="zh-CN"/>
        </w:rPr>
        <w:t>0.53</w:t>
      </w:r>
      <w:r>
        <w:rPr>
          <w:rFonts w:hint="eastAsia" w:ascii="仿宋_GB2312" w:hAnsi="Times New Roman" w:eastAsia="仿宋_GB2312" w:cs="Times New Roman"/>
          <w:sz w:val="32"/>
          <w:szCs w:val="32"/>
          <w:highlight w:val="none"/>
        </w:rPr>
        <w:t>万元，</w:t>
      </w:r>
      <w:r>
        <w:rPr>
          <w:rFonts w:hint="eastAsia" w:ascii="仿宋_GB2312" w:hAnsi="Times New Roman" w:eastAsia="仿宋_GB2312" w:cs="Times New Roman"/>
          <w:b w:val="0"/>
          <w:bCs/>
          <w:color w:val="auto"/>
          <w:sz w:val="32"/>
          <w:szCs w:val="32"/>
          <w:highlight w:val="none"/>
          <w:lang w:val="en-US" w:eastAsia="zh-CN"/>
        </w:rPr>
        <w:t>主要是因为</w:t>
      </w:r>
      <w:r>
        <w:rPr>
          <w:rFonts w:hint="eastAsia" w:ascii="仿宋_GB2312" w:hAnsi="Times New Roman" w:eastAsia="仿宋_GB2312" w:cs="Times New Roman"/>
          <w:b w:val="0"/>
          <w:bCs/>
          <w:color w:val="auto"/>
          <w:sz w:val="32"/>
          <w:szCs w:val="32"/>
          <w:highlight w:val="none"/>
        </w:rPr>
        <w:t>因公出国（境）费与2018年持平，无增减变化；公务用车购置费与2018年持平，无增减变化；公务用车运行维护费与2018年</w:t>
      </w:r>
      <w:r>
        <w:rPr>
          <w:rFonts w:hint="eastAsia" w:ascii="仿宋_GB2312" w:hAnsi="Times New Roman" w:eastAsia="仿宋_GB2312" w:cs="Times New Roman"/>
          <w:sz w:val="32"/>
          <w:szCs w:val="32"/>
          <w:highlight w:val="none"/>
        </w:rPr>
        <w:t>经费减</w:t>
      </w:r>
      <w:r>
        <w:rPr>
          <w:rFonts w:hint="eastAsia" w:ascii="仿宋_GB2312" w:hAnsi="Times New Roman" w:eastAsia="仿宋_GB2312" w:cs="Times New Roman"/>
          <w:sz w:val="32"/>
          <w:szCs w:val="32"/>
          <w:highlight w:val="none"/>
          <w:lang w:val="en-US" w:eastAsia="zh-CN"/>
        </w:rPr>
        <w:t>0.53</w:t>
      </w:r>
      <w:r>
        <w:rPr>
          <w:rFonts w:hint="eastAsia" w:ascii="仿宋_GB2312" w:hAnsi="Times New Roman" w:eastAsia="仿宋_GB2312" w:cs="Times New Roman"/>
          <w:sz w:val="32"/>
          <w:szCs w:val="32"/>
          <w:highlight w:val="none"/>
        </w:rPr>
        <w:t>万元</w:t>
      </w:r>
      <w:r>
        <w:rPr>
          <w:rFonts w:hint="eastAsia" w:ascii="仿宋_GB2312" w:hAnsi="Times New Roman" w:eastAsia="仿宋_GB2312" w:cs="Times New Roman"/>
          <w:b w:val="0"/>
          <w:bCs/>
          <w:color w:val="auto"/>
          <w:sz w:val="32"/>
          <w:szCs w:val="32"/>
          <w:highlight w:val="none"/>
        </w:rPr>
        <w:t>；</w:t>
      </w:r>
      <w:r>
        <w:rPr>
          <w:rFonts w:hint="eastAsia" w:ascii="仿宋_GB2312" w:hAnsi="Times New Roman" w:eastAsia="仿宋_GB2312" w:cs="Times New Roman"/>
          <w:sz w:val="32"/>
          <w:szCs w:val="32"/>
          <w:highlight w:val="none"/>
        </w:rPr>
        <w:t>主要是因为</w:t>
      </w:r>
      <w:r>
        <w:rPr>
          <w:rFonts w:hint="eastAsia" w:ascii="仿宋_GB2312" w:hAnsi="Times New Roman" w:eastAsia="仿宋_GB2312" w:cs="Times New Roman"/>
          <w:sz w:val="32"/>
          <w:szCs w:val="32"/>
          <w:highlight w:val="none"/>
          <w:lang w:val="en-US" w:eastAsia="zh-CN"/>
        </w:rPr>
        <w:t>公车保险未在该项中支出，</w:t>
      </w:r>
      <w:r>
        <w:rPr>
          <w:rFonts w:hint="eastAsia" w:ascii="仿宋_GB2312" w:hAnsi="Times New Roman" w:eastAsia="仿宋_GB2312" w:cs="Times New Roman"/>
          <w:b w:val="0"/>
          <w:bCs/>
          <w:color w:val="auto"/>
          <w:sz w:val="32"/>
          <w:szCs w:val="32"/>
          <w:highlight w:val="none"/>
        </w:rPr>
        <w:t>公务接待费与2018年持平，无增减变化</w:t>
      </w:r>
      <w:r>
        <w:rPr>
          <w:rFonts w:hint="eastAsia" w:ascii="仿宋_GB2312" w:hAnsi="Times New Roman" w:eastAsia="仿宋_GB2312" w:cs="Times New Roman"/>
          <w:b w:val="0"/>
          <w:bCs/>
          <w:color w:val="auto"/>
          <w:sz w:val="32"/>
          <w:szCs w:val="32"/>
          <w:highlight w:val="none"/>
          <w:lang w:eastAsia="zh-CN"/>
        </w:rPr>
        <w:t>。</w:t>
      </w:r>
      <w:bookmarkStart w:id="3" w:name="_GoBack"/>
      <w:bookmarkEnd w:id="3"/>
    </w:p>
    <w:p>
      <w:pPr>
        <w:ind w:firstLine="640" w:firstLineChars="200"/>
        <w:rPr>
          <w:rFonts w:hint="eastAsia" w:ascii="仿宋_GB2312" w:hAnsi="Times New Roman" w:eastAsia="仿宋_GB2312" w:cs="Times New Roman"/>
          <w:sz w:val="32"/>
          <w:szCs w:val="32"/>
          <w:highlight w:val="none"/>
          <w:lang w:val="en-US" w:eastAsia="zh-CN"/>
        </w:rPr>
      </w:pP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五、绩效预算信息</w:t>
      </w:r>
    </w:p>
    <w:p>
      <w:pPr>
        <w:ind w:firstLine="643" w:firstLineChars="200"/>
        <w:rPr>
          <w:rFonts w:hint="eastAsia" w:ascii="楷体_GB2312" w:hAnsi="Times New Roman" w:eastAsia="楷体_GB2312" w:cs="Times New Roman"/>
          <w:b/>
          <w:color w:val="auto"/>
          <w:sz w:val="32"/>
          <w:szCs w:val="32"/>
          <w:highlight w:val="none"/>
        </w:rPr>
      </w:pPr>
      <w:bookmarkStart w:id="1" w:name="_Toc471398463"/>
      <w:r>
        <w:rPr>
          <w:rFonts w:hint="eastAsia" w:ascii="楷体_GB2312" w:hAnsi="Times New Roman" w:eastAsia="楷体_GB2312" w:cs="Times New Roman"/>
          <w:b/>
          <w:color w:val="auto"/>
          <w:sz w:val="32"/>
          <w:szCs w:val="32"/>
          <w:highlight w:val="none"/>
        </w:rPr>
        <w:t xml:space="preserve"> 总体目标：</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近年来，随着政治经济改革的不断深入，利益格局的重新调整，各种深层次的社会矛盾和社会问题日渐凸显，群众上访成倍增加。为适应新形势下信访工作需要，信访局不断强化力度，全年保持着高强度的工作状态，在多次重大敏感时期更是坚持长时间超负荷运转，努力维护社会稳定秩序。</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加强调度部署，保持良好工作局面。我市始终把信访工作当做一场硬仗来打，摆在重要位置来部署推进，积极抓好落实。一是精心组织部署。针对各阶段重点，市委、市政府多次召开全市信访稳定工作大会，市联席会议每月至少召开一次例会，明确目标，周密部署，确保达成实效。二是领导调度推进。市委、市政府主要领导主动参加市联席会议工作例会，调度信访积案，督导工作落实；在全国“两会”等重大敏感时期实行双日调度，召集市级相关包案领导和重点乡镇、责任单位召开案件碰头会，下大力度化解疑难信访问题。三是利用信息平台实现工作快速联动。开通信访工作微信群，由市委、市政府主要领导，市联席会议召集人，各相关部门和乡镇主要负责同志组成，对信访工作情况进行快速沟通、及时调度，确保第一时间发现问题、解决问题。</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健全制度机制，激发群众工作效能活力。全面建成“以市群众工作中心为核心纽带，以乡级群众工作站为枝干延伸，以村级群众工作室为基层节点”的群众工作网络，并通过探索实践、交流经验等，不断健全工作机制、提升工作质量。当前，运用群众工作思维，深入化解基层矛盾的作用正在显现。一是市群众工作中心高效运转。群工中心新建接待大厅面积达1077平方米，设立13个接访窗口，抽调19个市直部门进驻。制定了《群众工作中心工作流程》、《加强中心管理的各项规定》、《入驻人员考核管理办法》等一系列配套制度，对入驻干部每周开展一次集中学习培训，每月进行一次综合考评和通报，推动中心规范管理、高效运行。经过“统一分流”、“三级调处”，实现了信访由“中转站”向“终点站”的转变。二是乡、村两级群众工作平台开始发挥实效。全市15个乡镇（区、办）群众工作站、373个村街（社区、企业）群众工作室全部建成并投入使用。在村级群众工作室，突出矛盾纠纷的排查、吸附作用，重大问题及时上报，并引导群众逐级、有序上访；在乡级群众工作站，统筹信访、综治、司法等部门力量，适时引入法律援助，通过统一战线、形成合力，推动信访问题依法就地解决。三是转变作风，服务群众。结合作风整顿、政策落实年和素质提升年活动，以争当“优秀接访员、办信能手、办案标兵、优秀督办员” 为活动载体，积极开展岗位大练兵，不断强化信访干部的责任意识、服务意识和群众工作能力。</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三）立足事要解决，攻坚化解信访积案。我市把化解信访积案列为全市重点工作之一，制定了《霸州市化解信访积案集中行动实施方案》，在全市范围开展信访积案化解暨非访治理攻坚月行动，将进京非访案件、进京赴省集体上访案件、已结未息诉案件全部列入攻坚范畴，以“真正解决问题”为出发点和落脚点，落实“四个集中一批”措施，强力攻坚。一是集中调度化解一批。实行每周集中调度机制，市联席会议牵头召集市级相关包案领导和责任单位，集中调度疑难信访积案的处置进展情况，研究制定化解措施，推动案件快速、妥善解决。二是集中约访处置一批。实行领导干部重点约访制度，市级包案领导牵头组织各涉案责任部门，并聘请律师提供法律援助，共同约访上访群众，现场拍板解决问题。三是集中治理打击一批。对已经依法按政策办理答复，做到“四个到位、四不欠账”，但上访人仍坚持无理缠访闹访、进京非访的，依法严肃处理。四是集中通报追责一批。严格信访通报追责制度，实行每日通报访情、每周工作倒排；同时，对因工作开展不力、责任落实不到位，造成群众上访问题频发、多发或影响全市稳定工作大局的，追究责任单位相关领导和具体责任人员的责任。</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四）强化非访治理，从“依法信访”上造声势。严格执行《关于公安机关处置信访活动中违法犯罪行为适用法律的指导意见》（公通字〔2013〕25号）和《关于依法处理信访活动中有关违法犯罪行为的指导意见》（冀公法〔2015〕100号），对信访活动中的违法行为坚决依法处置，并选择典型案例向社会公开曝光。对违法上访行为形成了有力震慑。同时，大力营造“法治信访”的环境氛围，在全市所有乡镇、村街的重要路段、重要部位悬挂信访宣传标语，向群众发放信访漫画，在“两台一报”滚动播放信访法律法规、宣传视频等，通过多种渠道、多种方式，加强宣传力度，引导群众依法、逐级、理性、有序表达信访诉求，促进社会和谐稳定。</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职责分类绩效目标：</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中共霸州市委、霸州市人民政府信访局是代表市委、市政府处理人民群众来信，接待群众来访事项，保障信访渠道畅通，指导、协调信访工作的综合部门，主要职责是：</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一、负责处理人民群众给市委、市政府的来信，接待要求当面向市委、市政府领导同志反映意愿的人民群众，办理上级领导机关转来的我市群众信件。</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二、承办市委、市政府领导同志交办的信访事项，督促检查领导同志有关批示的落实情况，向乡镇区办和市直部门交办信访事项，督促检查重要信访事项的处理和落实。</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三、协调处理跨乡镇区办、跨部门的重要信访问题，协调处理集体访和异常、突发信访事件，协调乡镇区办和市直部门的信访工作。</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四、督促和检查指导全市的信访工作，抓好全市信访工作系统基础建设，组织信访干部培训。</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五、调查研究和综合分析全市的信访形势和信访工作现状，并向市委、市政府提出改进和加强信访工作的意见和建议，总结和推广各乡镇区办、市直各部门信访工作经验，反馈信访信息。</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六、研究提出全市信访工作的思路，拟定信访工作的有关政策、规定；参与组织、协调、指导全市社会治安综合治理和维护社会政治稳定工作，协助保障国家、省、廊坊市和本市重大政治活动的顺利进行，参与处理影响社会政治稳定的突发性、群体性事件；负责对乡镇（区、办）党委、政府和市直有关部门信访工作年度责任目标的考核，负责对全市社会治安综合治理和维护社会政治稳定年度责任目标中有关信访工作的考核。</w:t>
      </w:r>
    </w:p>
    <w:p>
      <w:pPr>
        <w:ind w:firstLine="640" w:firstLineChars="200"/>
        <w:rPr>
          <w:rFonts w:hint="eastAsia"/>
          <w:highlight w:val="none"/>
        </w:rPr>
      </w:pPr>
      <w:r>
        <w:rPr>
          <w:rFonts w:hint="eastAsia" w:ascii="仿宋_GB2312" w:hAnsi="Times New Roman" w:eastAsia="仿宋_GB2312" w:cs="Times New Roman"/>
          <w:sz w:val="32"/>
          <w:szCs w:val="32"/>
          <w:highlight w:val="none"/>
        </w:rPr>
        <w:t>七、负责市委、市政府及领导同志交办的其他事项。</w:t>
      </w:r>
    </w:p>
    <w:p>
      <w:pPr>
        <w:ind w:firstLine="643" w:firstLineChars="200"/>
        <w:jc w:val="left"/>
        <w:outlineLvl w:val="0"/>
        <w:rPr>
          <w:rFonts w:ascii="楷体_GB2312" w:hAnsi="Times New Roman" w:eastAsia="楷体_GB2312" w:cs="Times New Roman"/>
          <w:b/>
          <w:sz w:val="32"/>
          <w:szCs w:val="24"/>
          <w:highlight w:val="none"/>
        </w:rPr>
      </w:pPr>
      <w:r>
        <w:rPr>
          <w:rFonts w:hint="eastAsia" w:ascii="楷体_GB2312" w:hAnsi="黑体" w:eastAsia="楷体_GB2312" w:cs="Times New Roman"/>
          <w:b/>
          <w:sz w:val="32"/>
          <w:szCs w:val="32"/>
          <w:highlight w:val="none"/>
        </w:rPr>
        <w:t>部门职责及工作活动绩效目标指标：</w:t>
      </w:r>
    </w:p>
    <w:p>
      <w:pPr>
        <w:jc w:val="center"/>
        <w:outlineLvl w:val="0"/>
        <w:rPr>
          <w:rFonts w:ascii="方正小标宋_GBK" w:hAnsi="Times New Roman" w:eastAsia="方正小标宋_GBK" w:cs="Times New Roman"/>
          <w:sz w:val="32"/>
          <w:szCs w:val="24"/>
          <w:highlight w:val="none"/>
        </w:rPr>
      </w:pPr>
      <w:r>
        <w:rPr>
          <w:rFonts w:hint="eastAsia" w:ascii="方正小标宋_GBK" w:hAnsi="Times New Roman" w:eastAsia="方正小标宋_GBK" w:cs="Times New Roman"/>
          <w:sz w:val="32"/>
          <w:szCs w:val="24"/>
          <w:highlight w:val="none"/>
        </w:rPr>
        <w:t>部门职责-工作活动绩效目标</w:t>
      </w:r>
      <w:bookmarkEnd w:id="1"/>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1"/>
        <w:gridCol w:w="1632"/>
        <w:gridCol w:w="2725"/>
        <w:gridCol w:w="2559"/>
        <w:gridCol w:w="1177"/>
        <w:gridCol w:w="1276"/>
        <w:gridCol w:w="984"/>
        <w:gridCol w:w="984"/>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654" w:type="dxa"/>
            <w:gridSpan w:val="5"/>
            <w:tcBorders>
              <w:top w:val="single" w:color="FFFFFF" w:sz="6" w:space="0"/>
              <w:left w:val="single" w:color="FFFFFF" w:sz="6" w:space="0"/>
              <w:right w:val="single" w:color="FFFFFF" w:sz="6" w:space="0"/>
            </w:tcBorders>
            <w:noWrap w:val="0"/>
            <w:vAlign w:val="center"/>
          </w:tcPr>
          <w:p>
            <w:pPr>
              <w:rPr>
                <w:rFonts w:hint="eastAsia"/>
                <w:highlight w:val="none"/>
              </w:rPr>
            </w:pPr>
            <w:r>
              <w:rPr>
                <w:rFonts w:hint="eastAsia"/>
                <w:highlight w:val="none"/>
              </w:rPr>
              <w:t>107霸州市信访局</w:t>
            </w:r>
          </w:p>
        </w:tc>
        <w:tc>
          <w:tcPr>
            <w:tcW w:w="4520" w:type="dxa"/>
            <w:gridSpan w:val="4"/>
            <w:tcBorders>
              <w:top w:val="single" w:color="FFFFFF" w:sz="6" w:space="0"/>
              <w:left w:val="single" w:color="FFFFFF" w:sz="6" w:space="0"/>
              <w:right w:val="single" w:color="FFFFFF" w:sz="6" w:space="0"/>
            </w:tcBorders>
            <w:noWrap w:val="0"/>
            <w:vAlign w:val="center"/>
          </w:tcPr>
          <w:p>
            <w:pPr>
              <w:jc w:val="right"/>
              <w:rPr>
                <w:rFonts w:hint="eastAsia"/>
                <w:highlight w:val="none"/>
              </w:rPr>
            </w:pPr>
            <w:r>
              <w:rPr>
                <w:rFonts w:hint="eastAsia"/>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61" w:type="dxa"/>
            <w:vMerge w:val="restart"/>
            <w:noWrap w:val="0"/>
            <w:vAlign w:val="center"/>
          </w:tcPr>
          <w:p>
            <w:pPr>
              <w:rPr>
                <w:rFonts w:hint="eastAsia"/>
                <w:highlight w:val="none"/>
              </w:rPr>
            </w:pPr>
            <w:r>
              <w:rPr>
                <w:rFonts w:hint="eastAsia"/>
                <w:highlight w:val="none"/>
              </w:rPr>
              <w:t>职责活动</w:t>
            </w:r>
          </w:p>
        </w:tc>
        <w:tc>
          <w:tcPr>
            <w:tcW w:w="1632" w:type="dxa"/>
            <w:vMerge w:val="restart"/>
            <w:noWrap w:val="0"/>
            <w:vAlign w:val="center"/>
          </w:tcPr>
          <w:p>
            <w:pPr>
              <w:rPr>
                <w:rFonts w:hint="eastAsia"/>
                <w:highlight w:val="none"/>
              </w:rPr>
            </w:pPr>
            <w:r>
              <w:rPr>
                <w:rFonts w:hint="eastAsia"/>
                <w:highlight w:val="none"/>
              </w:rPr>
              <w:t>年度预算数</w:t>
            </w:r>
          </w:p>
        </w:tc>
        <w:tc>
          <w:tcPr>
            <w:tcW w:w="2725" w:type="dxa"/>
            <w:vMerge w:val="restart"/>
            <w:noWrap w:val="0"/>
            <w:vAlign w:val="center"/>
          </w:tcPr>
          <w:p>
            <w:pPr>
              <w:rPr>
                <w:rFonts w:hint="eastAsia"/>
                <w:highlight w:val="none"/>
              </w:rPr>
            </w:pPr>
            <w:r>
              <w:rPr>
                <w:rFonts w:hint="eastAsia"/>
                <w:highlight w:val="none"/>
              </w:rPr>
              <w:t>内容描述</w:t>
            </w:r>
          </w:p>
        </w:tc>
        <w:tc>
          <w:tcPr>
            <w:tcW w:w="2559" w:type="dxa"/>
            <w:vMerge w:val="restart"/>
            <w:noWrap w:val="0"/>
            <w:vAlign w:val="center"/>
          </w:tcPr>
          <w:p>
            <w:pPr>
              <w:rPr>
                <w:rFonts w:hint="eastAsia"/>
                <w:highlight w:val="none"/>
              </w:rPr>
            </w:pPr>
            <w:r>
              <w:rPr>
                <w:rFonts w:hint="eastAsia"/>
                <w:highlight w:val="none"/>
              </w:rPr>
              <w:t>绩效目标</w:t>
            </w:r>
          </w:p>
        </w:tc>
        <w:tc>
          <w:tcPr>
            <w:tcW w:w="1177" w:type="dxa"/>
            <w:vMerge w:val="restart"/>
            <w:noWrap w:val="0"/>
            <w:vAlign w:val="center"/>
          </w:tcPr>
          <w:p>
            <w:pPr>
              <w:rPr>
                <w:rFonts w:hint="eastAsia"/>
                <w:highlight w:val="none"/>
              </w:rPr>
            </w:pPr>
            <w:r>
              <w:rPr>
                <w:rFonts w:hint="eastAsia"/>
                <w:highlight w:val="none"/>
              </w:rPr>
              <w:t>绩效指标</w:t>
            </w:r>
          </w:p>
        </w:tc>
        <w:tc>
          <w:tcPr>
            <w:tcW w:w="4520" w:type="dxa"/>
            <w:gridSpan w:val="4"/>
            <w:noWrap w:val="0"/>
            <w:vAlign w:val="center"/>
          </w:tcPr>
          <w:p>
            <w:pPr>
              <w:rPr>
                <w:rFonts w:hint="eastAsia"/>
                <w:highlight w:val="none"/>
              </w:rPr>
            </w:pPr>
            <w:r>
              <w:rPr>
                <w:rFonts w:hint="eastAsia"/>
                <w:highlight w:val="none"/>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561" w:type="dxa"/>
            <w:vMerge w:val="continue"/>
            <w:noWrap w:val="0"/>
            <w:vAlign w:val="center"/>
          </w:tcPr>
          <w:p>
            <w:pPr>
              <w:rPr>
                <w:rFonts w:hint="eastAsia"/>
                <w:highlight w:val="none"/>
              </w:rPr>
            </w:pPr>
          </w:p>
        </w:tc>
        <w:tc>
          <w:tcPr>
            <w:tcW w:w="1632" w:type="dxa"/>
            <w:vMerge w:val="continue"/>
            <w:noWrap w:val="0"/>
            <w:vAlign w:val="center"/>
          </w:tcPr>
          <w:p>
            <w:pPr>
              <w:rPr>
                <w:rFonts w:hint="eastAsia"/>
                <w:highlight w:val="none"/>
              </w:rPr>
            </w:pPr>
          </w:p>
        </w:tc>
        <w:tc>
          <w:tcPr>
            <w:tcW w:w="2725" w:type="dxa"/>
            <w:vMerge w:val="continue"/>
            <w:noWrap w:val="0"/>
            <w:vAlign w:val="center"/>
          </w:tcPr>
          <w:p>
            <w:pPr>
              <w:rPr>
                <w:rFonts w:hint="eastAsia"/>
                <w:highlight w:val="none"/>
              </w:rPr>
            </w:pPr>
          </w:p>
        </w:tc>
        <w:tc>
          <w:tcPr>
            <w:tcW w:w="2559" w:type="dxa"/>
            <w:vMerge w:val="continue"/>
            <w:noWrap w:val="0"/>
            <w:vAlign w:val="center"/>
          </w:tcPr>
          <w:p>
            <w:pPr>
              <w:rPr>
                <w:rFonts w:hint="eastAsia"/>
                <w:highlight w:val="none"/>
              </w:rPr>
            </w:pPr>
          </w:p>
        </w:tc>
        <w:tc>
          <w:tcPr>
            <w:tcW w:w="1177" w:type="dxa"/>
            <w:vMerge w:val="continue"/>
            <w:noWrap w:val="0"/>
            <w:vAlign w:val="center"/>
          </w:tcPr>
          <w:p>
            <w:pPr>
              <w:rPr>
                <w:rFonts w:hint="eastAsia"/>
                <w:highlight w:val="none"/>
              </w:rPr>
            </w:pPr>
          </w:p>
        </w:tc>
        <w:tc>
          <w:tcPr>
            <w:tcW w:w="1276" w:type="dxa"/>
            <w:noWrap w:val="0"/>
            <w:vAlign w:val="center"/>
          </w:tcPr>
          <w:p>
            <w:pPr>
              <w:rPr>
                <w:rFonts w:hint="eastAsia"/>
                <w:highlight w:val="none"/>
              </w:rPr>
            </w:pPr>
            <w:r>
              <w:rPr>
                <w:rFonts w:hint="eastAsia"/>
                <w:highlight w:val="none"/>
              </w:rPr>
              <w:t>优</w:t>
            </w:r>
          </w:p>
        </w:tc>
        <w:tc>
          <w:tcPr>
            <w:tcW w:w="984" w:type="dxa"/>
            <w:noWrap w:val="0"/>
            <w:vAlign w:val="center"/>
          </w:tcPr>
          <w:p>
            <w:pPr>
              <w:rPr>
                <w:rFonts w:hint="eastAsia"/>
                <w:highlight w:val="none"/>
              </w:rPr>
            </w:pPr>
            <w:r>
              <w:rPr>
                <w:rFonts w:hint="eastAsia"/>
                <w:highlight w:val="none"/>
              </w:rPr>
              <w:t>良</w:t>
            </w:r>
          </w:p>
        </w:tc>
        <w:tc>
          <w:tcPr>
            <w:tcW w:w="984" w:type="dxa"/>
            <w:noWrap w:val="0"/>
            <w:vAlign w:val="center"/>
          </w:tcPr>
          <w:p>
            <w:pPr>
              <w:rPr>
                <w:rFonts w:hint="eastAsia"/>
                <w:highlight w:val="none"/>
              </w:rPr>
            </w:pPr>
            <w:r>
              <w:rPr>
                <w:rFonts w:hint="eastAsia"/>
                <w:highlight w:val="none"/>
              </w:rPr>
              <w:t>中</w:t>
            </w:r>
          </w:p>
        </w:tc>
        <w:tc>
          <w:tcPr>
            <w:tcW w:w="1276" w:type="dxa"/>
            <w:noWrap w:val="0"/>
            <w:vAlign w:val="center"/>
          </w:tcPr>
          <w:p>
            <w:pPr>
              <w:rPr>
                <w:rFonts w:hint="eastAsia"/>
                <w:highlight w:val="none"/>
              </w:rPr>
            </w:pPr>
            <w:r>
              <w:rPr>
                <w:rFonts w:hint="eastAsia"/>
                <w:highlight w:val="none"/>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noWrap w:val="0"/>
            <w:vAlign w:val="center"/>
          </w:tcPr>
          <w:p>
            <w:pPr>
              <w:rPr>
                <w:rFonts w:hint="eastAsia"/>
                <w:highlight w:val="none"/>
              </w:rPr>
            </w:pPr>
            <w:r>
              <w:rPr>
                <w:rFonts w:hint="eastAsia"/>
                <w:highlight w:val="none"/>
              </w:rPr>
              <w:t>一、信访问</w:t>
            </w:r>
          </w:p>
          <w:p>
            <w:pPr>
              <w:rPr>
                <w:rFonts w:hint="eastAsia"/>
                <w:highlight w:val="none"/>
              </w:rPr>
            </w:pPr>
            <w:r>
              <w:rPr>
                <w:rFonts w:hint="eastAsia"/>
                <w:highlight w:val="none"/>
              </w:rPr>
              <w:t>题处理</w:t>
            </w:r>
          </w:p>
        </w:tc>
        <w:tc>
          <w:tcPr>
            <w:tcW w:w="1632" w:type="dxa"/>
            <w:noWrap w:val="0"/>
            <w:vAlign w:val="center"/>
          </w:tcPr>
          <w:p>
            <w:pPr>
              <w:rPr>
                <w:rFonts w:hint="eastAsia"/>
                <w:highlight w:val="none"/>
              </w:rPr>
            </w:pPr>
            <w:r>
              <w:rPr>
                <w:rFonts w:hint="eastAsia"/>
                <w:highlight w:val="none"/>
              </w:rPr>
              <w:t>290.00</w:t>
            </w:r>
          </w:p>
        </w:tc>
        <w:tc>
          <w:tcPr>
            <w:tcW w:w="2725" w:type="dxa"/>
            <w:noWrap w:val="0"/>
            <w:vAlign w:val="center"/>
          </w:tcPr>
          <w:p>
            <w:pPr>
              <w:rPr>
                <w:rFonts w:hint="eastAsia"/>
                <w:highlight w:val="none"/>
              </w:rPr>
            </w:pPr>
            <w:r>
              <w:rPr>
                <w:rFonts w:hint="eastAsia"/>
                <w:highlight w:val="none"/>
              </w:rPr>
              <w:t>负责正常信访、非访、突发性及群体性事件的办理；提供相关服务保障；协助上级信访局处理越级上访；信访事项督查、复查复核、听证；负责县委县政府交办的其他事项。</w:t>
            </w:r>
          </w:p>
        </w:tc>
        <w:tc>
          <w:tcPr>
            <w:tcW w:w="2559" w:type="dxa"/>
            <w:noWrap w:val="0"/>
            <w:vAlign w:val="center"/>
          </w:tcPr>
          <w:p>
            <w:pPr>
              <w:rPr>
                <w:rFonts w:hint="eastAsia"/>
                <w:highlight w:val="none"/>
              </w:rPr>
            </w:pPr>
            <w:r>
              <w:rPr>
                <w:rFonts w:hint="eastAsia"/>
                <w:highlight w:val="none"/>
              </w:rPr>
              <w:t>畅通信访渠道，减少信访案件，维护社会和谐稳定。</w:t>
            </w:r>
          </w:p>
        </w:tc>
        <w:tc>
          <w:tcPr>
            <w:tcW w:w="1177" w:type="dxa"/>
            <w:noWrap w:val="0"/>
            <w:vAlign w:val="center"/>
          </w:tcPr>
          <w:p>
            <w:pPr>
              <w:rPr>
                <w:rFonts w:hint="eastAsia"/>
                <w:highlight w:val="none"/>
              </w:rPr>
            </w:pPr>
          </w:p>
        </w:tc>
        <w:tc>
          <w:tcPr>
            <w:tcW w:w="1276" w:type="dxa"/>
            <w:noWrap w:val="0"/>
            <w:vAlign w:val="center"/>
          </w:tcPr>
          <w:p>
            <w:pPr>
              <w:rPr>
                <w:rFonts w:hint="eastAsia"/>
                <w:highlight w:val="none"/>
              </w:rPr>
            </w:pPr>
          </w:p>
        </w:tc>
        <w:tc>
          <w:tcPr>
            <w:tcW w:w="984" w:type="dxa"/>
            <w:noWrap w:val="0"/>
            <w:vAlign w:val="center"/>
          </w:tcPr>
          <w:p>
            <w:pPr>
              <w:rPr>
                <w:rFonts w:hint="eastAsia"/>
                <w:highlight w:val="none"/>
              </w:rPr>
            </w:pPr>
          </w:p>
        </w:tc>
        <w:tc>
          <w:tcPr>
            <w:tcW w:w="984" w:type="dxa"/>
            <w:noWrap w:val="0"/>
            <w:vAlign w:val="center"/>
          </w:tcPr>
          <w:p>
            <w:pPr>
              <w:rPr>
                <w:rFonts w:hint="eastAsia"/>
                <w:highlight w:val="none"/>
              </w:rPr>
            </w:pPr>
          </w:p>
        </w:tc>
        <w:tc>
          <w:tcPr>
            <w:tcW w:w="1276" w:type="dxa"/>
            <w:noWrap w:val="0"/>
            <w:vAlign w:val="center"/>
          </w:tcPr>
          <w:p>
            <w:pPr>
              <w:rPr>
                <w:rFonts w:hint="eastAsia"/>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vMerge w:val="restart"/>
            <w:noWrap w:val="0"/>
            <w:vAlign w:val="center"/>
          </w:tcPr>
          <w:p>
            <w:pPr>
              <w:rPr>
                <w:rFonts w:hint="eastAsia"/>
                <w:highlight w:val="none"/>
              </w:rPr>
            </w:pPr>
            <w:r>
              <w:rPr>
                <w:rFonts w:hint="eastAsia"/>
                <w:highlight w:val="none"/>
              </w:rPr>
              <w:t>　　1、信访业务办理</w:t>
            </w:r>
          </w:p>
        </w:tc>
        <w:tc>
          <w:tcPr>
            <w:tcW w:w="1632" w:type="dxa"/>
            <w:vMerge w:val="restart"/>
            <w:noWrap w:val="0"/>
            <w:vAlign w:val="center"/>
          </w:tcPr>
          <w:p>
            <w:pPr>
              <w:rPr>
                <w:rFonts w:hint="eastAsia"/>
                <w:highlight w:val="none"/>
              </w:rPr>
            </w:pPr>
            <w:r>
              <w:rPr>
                <w:rFonts w:hint="eastAsia"/>
                <w:highlight w:val="none"/>
              </w:rPr>
              <w:t>150.00</w:t>
            </w:r>
          </w:p>
        </w:tc>
        <w:tc>
          <w:tcPr>
            <w:tcW w:w="2725" w:type="dxa"/>
            <w:vMerge w:val="restart"/>
            <w:noWrap w:val="0"/>
            <w:vAlign w:val="center"/>
          </w:tcPr>
          <w:p>
            <w:pPr>
              <w:rPr>
                <w:rFonts w:hint="eastAsia"/>
                <w:highlight w:val="none"/>
              </w:rPr>
            </w:pPr>
            <w:r>
              <w:rPr>
                <w:rFonts w:hint="eastAsia"/>
                <w:highlight w:val="none"/>
              </w:rPr>
              <w:t>办理人民群众来信、来访、网上信访；协助上级信访局处理越级上访工作。</w:t>
            </w:r>
          </w:p>
        </w:tc>
        <w:tc>
          <w:tcPr>
            <w:tcW w:w="2559" w:type="dxa"/>
            <w:vMerge w:val="restart"/>
            <w:noWrap w:val="0"/>
            <w:vAlign w:val="center"/>
          </w:tcPr>
          <w:p>
            <w:pPr>
              <w:rPr>
                <w:rFonts w:hint="eastAsia"/>
                <w:highlight w:val="none"/>
              </w:rPr>
            </w:pPr>
            <w:r>
              <w:rPr>
                <w:rFonts w:hint="eastAsia"/>
                <w:highlight w:val="none"/>
              </w:rPr>
              <w:t>畅通信访渠道，提高信访事项办理质量和效率。</w:t>
            </w:r>
          </w:p>
        </w:tc>
        <w:tc>
          <w:tcPr>
            <w:tcW w:w="1177" w:type="dxa"/>
            <w:noWrap w:val="0"/>
            <w:vAlign w:val="center"/>
          </w:tcPr>
          <w:p>
            <w:pPr>
              <w:rPr>
                <w:rFonts w:hint="eastAsia"/>
                <w:highlight w:val="none"/>
              </w:rPr>
            </w:pPr>
            <w:r>
              <w:rPr>
                <w:rFonts w:hint="eastAsia"/>
                <w:highlight w:val="none"/>
              </w:rPr>
              <w:t>信访事项受理及时率</w:t>
            </w:r>
          </w:p>
        </w:tc>
        <w:tc>
          <w:tcPr>
            <w:tcW w:w="1276" w:type="dxa"/>
            <w:noWrap w:val="0"/>
            <w:vAlign w:val="center"/>
          </w:tcPr>
          <w:p>
            <w:pPr>
              <w:rPr>
                <w:rFonts w:hint="eastAsia"/>
                <w:highlight w:val="none"/>
              </w:rPr>
            </w:pPr>
            <w:r>
              <w:rPr>
                <w:rFonts w:hint="eastAsia"/>
                <w:highlight w:val="none"/>
              </w:rPr>
              <w:t>100%</w:t>
            </w:r>
          </w:p>
        </w:tc>
        <w:tc>
          <w:tcPr>
            <w:tcW w:w="984" w:type="dxa"/>
            <w:noWrap w:val="0"/>
            <w:vAlign w:val="center"/>
          </w:tcPr>
          <w:p>
            <w:pPr>
              <w:rPr>
                <w:rFonts w:hint="eastAsia"/>
                <w:highlight w:val="none"/>
              </w:rPr>
            </w:pPr>
            <w:r>
              <w:rPr>
                <w:rFonts w:hint="eastAsia"/>
                <w:highlight w:val="none"/>
              </w:rPr>
              <w:t>≥95%</w:t>
            </w:r>
          </w:p>
        </w:tc>
        <w:tc>
          <w:tcPr>
            <w:tcW w:w="984" w:type="dxa"/>
            <w:noWrap w:val="0"/>
            <w:vAlign w:val="center"/>
          </w:tcPr>
          <w:p>
            <w:pPr>
              <w:rPr>
                <w:rFonts w:hint="eastAsia"/>
                <w:highlight w:val="none"/>
              </w:rPr>
            </w:pPr>
            <w:r>
              <w:rPr>
                <w:rFonts w:hint="eastAsia"/>
                <w:highlight w:val="none"/>
              </w:rPr>
              <w:t>≥90%</w:t>
            </w:r>
          </w:p>
        </w:tc>
        <w:tc>
          <w:tcPr>
            <w:tcW w:w="1276" w:type="dxa"/>
            <w:noWrap w:val="0"/>
            <w:vAlign w:val="center"/>
          </w:tcPr>
          <w:p>
            <w:pPr>
              <w:rPr>
                <w:rFonts w:hint="eastAsia"/>
                <w:highlight w:val="none"/>
              </w:rPr>
            </w:pPr>
            <w:r>
              <w:rPr>
                <w:rFonts w:hint="eastAsia"/>
                <w:highlight w:val="none"/>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vMerge w:val="continue"/>
            <w:noWrap w:val="0"/>
            <w:vAlign w:val="center"/>
          </w:tcPr>
          <w:p>
            <w:pPr>
              <w:rPr>
                <w:rFonts w:hint="eastAsia"/>
                <w:highlight w:val="none"/>
              </w:rPr>
            </w:pPr>
          </w:p>
        </w:tc>
        <w:tc>
          <w:tcPr>
            <w:tcW w:w="1632" w:type="dxa"/>
            <w:vMerge w:val="continue"/>
            <w:noWrap w:val="0"/>
            <w:vAlign w:val="center"/>
          </w:tcPr>
          <w:p>
            <w:pPr>
              <w:rPr>
                <w:rFonts w:hint="eastAsia"/>
                <w:highlight w:val="none"/>
              </w:rPr>
            </w:pPr>
          </w:p>
        </w:tc>
        <w:tc>
          <w:tcPr>
            <w:tcW w:w="2725" w:type="dxa"/>
            <w:vMerge w:val="continue"/>
            <w:noWrap w:val="0"/>
            <w:vAlign w:val="center"/>
          </w:tcPr>
          <w:p>
            <w:pPr>
              <w:rPr>
                <w:rFonts w:hint="eastAsia"/>
                <w:highlight w:val="none"/>
              </w:rPr>
            </w:pPr>
          </w:p>
        </w:tc>
        <w:tc>
          <w:tcPr>
            <w:tcW w:w="2559" w:type="dxa"/>
            <w:vMerge w:val="continue"/>
            <w:noWrap w:val="0"/>
            <w:vAlign w:val="center"/>
          </w:tcPr>
          <w:p>
            <w:pPr>
              <w:rPr>
                <w:rFonts w:hint="eastAsia"/>
                <w:highlight w:val="none"/>
              </w:rPr>
            </w:pPr>
          </w:p>
        </w:tc>
        <w:tc>
          <w:tcPr>
            <w:tcW w:w="1177" w:type="dxa"/>
            <w:noWrap w:val="0"/>
            <w:vAlign w:val="center"/>
          </w:tcPr>
          <w:p>
            <w:pPr>
              <w:rPr>
                <w:rFonts w:hint="eastAsia"/>
                <w:highlight w:val="none"/>
              </w:rPr>
            </w:pPr>
            <w:r>
              <w:rPr>
                <w:rFonts w:hint="eastAsia"/>
                <w:highlight w:val="none"/>
              </w:rPr>
              <w:t>信访事项按期结案率</w:t>
            </w:r>
          </w:p>
        </w:tc>
        <w:tc>
          <w:tcPr>
            <w:tcW w:w="1276" w:type="dxa"/>
            <w:noWrap w:val="0"/>
            <w:vAlign w:val="center"/>
          </w:tcPr>
          <w:p>
            <w:pPr>
              <w:rPr>
                <w:rFonts w:hint="eastAsia"/>
                <w:highlight w:val="none"/>
              </w:rPr>
            </w:pPr>
            <w:r>
              <w:rPr>
                <w:rFonts w:hint="eastAsia"/>
                <w:highlight w:val="none"/>
              </w:rPr>
              <w:t>100%</w:t>
            </w:r>
          </w:p>
        </w:tc>
        <w:tc>
          <w:tcPr>
            <w:tcW w:w="984" w:type="dxa"/>
            <w:noWrap w:val="0"/>
            <w:vAlign w:val="center"/>
          </w:tcPr>
          <w:p>
            <w:pPr>
              <w:rPr>
                <w:rFonts w:hint="eastAsia"/>
                <w:highlight w:val="none"/>
              </w:rPr>
            </w:pPr>
            <w:r>
              <w:rPr>
                <w:rFonts w:hint="eastAsia"/>
                <w:highlight w:val="none"/>
              </w:rPr>
              <w:t>≥95%</w:t>
            </w:r>
          </w:p>
        </w:tc>
        <w:tc>
          <w:tcPr>
            <w:tcW w:w="984" w:type="dxa"/>
            <w:noWrap w:val="0"/>
            <w:vAlign w:val="center"/>
          </w:tcPr>
          <w:p>
            <w:pPr>
              <w:rPr>
                <w:rFonts w:hint="eastAsia"/>
                <w:highlight w:val="none"/>
              </w:rPr>
            </w:pPr>
            <w:r>
              <w:rPr>
                <w:rFonts w:hint="eastAsia"/>
                <w:highlight w:val="none"/>
              </w:rPr>
              <w:t>≥90%</w:t>
            </w:r>
          </w:p>
        </w:tc>
        <w:tc>
          <w:tcPr>
            <w:tcW w:w="1276" w:type="dxa"/>
            <w:noWrap w:val="0"/>
            <w:vAlign w:val="center"/>
          </w:tcPr>
          <w:p>
            <w:pPr>
              <w:rPr>
                <w:rFonts w:hint="eastAsia"/>
                <w:highlight w:val="none"/>
              </w:rPr>
            </w:pPr>
            <w:r>
              <w:rPr>
                <w:rFonts w:hint="eastAsia"/>
                <w:highlight w:val="none"/>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vMerge w:val="restart"/>
            <w:noWrap w:val="0"/>
            <w:vAlign w:val="center"/>
          </w:tcPr>
          <w:p>
            <w:pPr>
              <w:rPr>
                <w:rFonts w:hint="eastAsia"/>
                <w:highlight w:val="none"/>
              </w:rPr>
            </w:pPr>
            <w:r>
              <w:rPr>
                <w:rFonts w:hint="eastAsia"/>
                <w:highlight w:val="none"/>
              </w:rPr>
              <w:t>　　2、处置非访、突发性及群体性事件</w:t>
            </w:r>
          </w:p>
        </w:tc>
        <w:tc>
          <w:tcPr>
            <w:tcW w:w="1632" w:type="dxa"/>
            <w:vMerge w:val="restart"/>
            <w:noWrap w:val="0"/>
            <w:vAlign w:val="center"/>
          </w:tcPr>
          <w:p>
            <w:pPr>
              <w:rPr>
                <w:rFonts w:hint="eastAsia"/>
                <w:highlight w:val="none"/>
              </w:rPr>
            </w:pPr>
            <w:r>
              <w:rPr>
                <w:rFonts w:hint="eastAsia"/>
                <w:highlight w:val="none"/>
              </w:rPr>
              <w:t>80.00</w:t>
            </w:r>
          </w:p>
        </w:tc>
        <w:tc>
          <w:tcPr>
            <w:tcW w:w="2725" w:type="dxa"/>
            <w:vMerge w:val="restart"/>
            <w:noWrap w:val="0"/>
            <w:vAlign w:val="center"/>
          </w:tcPr>
          <w:p>
            <w:pPr>
              <w:rPr>
                <w:rFonts w:hint="eastAsia"/>
                <w:highlight w:val="none"/>
              </w:rPr>
            </w:pPr>
            <w:r>
              <w:rPr>
                <w:rFonts w:hint="eastAsia"/>
                <w:highlight w:val="none"/>
              </w:rPr>
              <w:t>协助公安机关维护重点区域的正常工作秩序；处置影响社会政治稳定的各类非访、突发性、群体性事件；负责组织协调、稳控劝返、服务保障我县越级非访工作。承办县联席办的日常工作。</w:t>
            </w:r>
          </w:p>
        </w:tc>
        <w:tc>
          <w:tcPr>
            <w:tcW w:w="2559" w:type="dxa"/>
            <w:vMerge w:val="restart"/>
            <w:noWrap w:val="0"/>
            <w:vAlign w:val="center"/>
          </w:tcPr>
          <w:p>
            <w:pPr>
              <w:rPr>
                <w:rFonts w:hint="eastAsia"/>
                <w:highlight w:val="none"/>
              </w:rPr>
            </w:pPr>
            <w:r>
              <w:rPr>
                <w:rFonts w:hint="eastAsia"/>
                <w:highlight w:val="none"/>
              </w:rPr>
              <w:t>妥善处置非正常访，维护社会大局和谐稳定。</w:t>
            </w:r>
          </w:p>
        </w:tc>
        <w:tc>
          <w:tcPr>
            <w:tcW w:w="1177" w:type="dxa"/>
            <w:noWrap w:val="0"/>
            <w:vAlign w:val="center"/>
          </w:tcPr>
          <w:p>
            <w:pPr>
              <w:rPr>
                <w:rFonts w:hint="eastAsia"/>
                <w:highlight w:val="none"/>
              </w:rPr>
            </w:pPr>
            <w:r>
              <w:rPr>
                <w:rFonts w:hint="eastAsia"/>
                <w:highlight w:val="none"/>
              </w:rPr>
              <w:t>信访事项受理及时率</w:t>
            </w:r>
          </w:p>
        </w:tc>
        <w:tc>
          <w:tcPr>
            <w:tcW w:w="1276" w:type="dxa"/>
            <w:noWrap w:val="0"/>
            <w:vAlign w:val="center"/>
          </w:tcPr>
          <w:p>
            <w:pPr>
              <w:rPr>
                <w:rFonts w:hint="eastAsia"/>
                <w:highlight w:val="none"/>
              </w:rPr>
            </w:pPr>
            <w:r>
              <w:rPr>
                <w:rFonts w:hint="eastAsia"/>
                <w:highlight w:val="none"/>
              </w:rPr>
              <w:t>100%</w:t>
            </w:r>
          </w:p>
        </w:tc>
        <w:tc>
          <w:tcPr>
            <w:tcW w:w="984" w:type="dxa"/>
            <w:noWrap w:val="0"/>
            <w:vAlign w:val="center"/>
          </w:tcPr>
          <w:p>
            <w:pPr>
              <w:rPr>
                <w:rFonts w:hint="eastAsia"/>
                <w:highlight w:val="none"/>
              </w:rPr>
            </w:pPr>
            <w:r>
              <w:rPr>
                <w:rFonts w:hint="eastAsia"/>
                <w:highlight w:val="none"/>
              </w:rPr>
              <w:t>≥95%</w:t>
            </w:r>
          </w:p>
        </w:tc>
        <w:tc>
          <w:tcPr>
            <w:tcW w:w="984" w:type="dxa"/>
            <w:noWrap w:val="0"/>
            <w:vAlign w:val="center"/>
          </w:tcPr>
          <w:p>
            <w:pPr>
              <w:rPr>
                <w:rFonts w:hint="eastAsia"/>
                <w:highlight w:val="none"/>
              </w:rPr>
            </w:pPr>
            <w:r>
              <w:rPr>
                <w:rFonts w:hint="eastAsia"/>
                <w:highlight w:val="none"/>
              </w:rPr>
              <w:t>≥90%</w:t>
            </w:r>
          </w:p>
        </w:tc>
        <w:tc>
          <w:tcPr>
            <w:tcW w:w="1276" w:type="dxa"/>
            <w:noWrap w:val="0"/>
            <w:vAlign w:val="center"/>
          </w:tcPr>
          <w:p>
            <w:pPr>
              <w:rPr>
                <w:rFonts w:hint="eastAsia"/>
                <w:highlight w:val="none"/>
              </w:rPr>
            </w:pPr>
            <w:r>
              <w:rPr>
                <w:rFonts w:hint="eastAsia"/>
                <w:highlight w:val="none"/>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vMerge w:val="continue"/>
            <w:noWrap w:val="0"/>
            <w:vAlign w:val="center"/>
          </w:tcPr>
          <w:p>
            <w:pPr>
              <w:rPr>
                <w:rFonts w:hint="eastAsia"/>
                <w:highlight w:val="none"/>
              </w:rPr>
            </w:pPr>
          </w:p>
        </w:tc>
        <w:tc>
          <w:tcPr>
            <w:tcW w:w="1632" w:type="dxa"/>
            <w:vMerge w:val="continue"/>
            <w:noWrap w:val="0"/>
            <w:vAlign w:val="center"/>
          </w:tcPr>
          <w:p>
            <w:pPr>
              <w:rPr>
                <w:rFonts w:hint="eastAsia"/>
                <w:highlight w:val="none"/>
              </w:rPr>
            </w:pPr>
          </w:p>
        </w:tc>
        <w:tc>
          <w:tcPr>
            <w:tcW w:w="2725" w:type="dxa"/>
            <w:vMerge w:val="continue"/>
            <w:noWrap w:val="0"/>
            <w:vAlign w:val="center"/>
          </w:tcPr>
          <w:p>
            <w:pPr>
              <w:rPr>
                <w:rFonts w:hint="eastAsia"/>
                <w:highlight w:val="none"/>
              </w:rPr>
            </w:pPr>
          </w:p>
        </w:tc>
        <w:tc>
          <w:tcPr>
            <w:tcW w:w="2559" w:type="dxa"/>
            <w:vMerge w:val="continue"/>
            <w:noWrap w:val="0"/>
            <w:vAlign w:val="center"/>
          </w:tcPr>
          <w:p>
            <w:pPr>
              <w:rPr>
                <w:rFonts w:hint="eastAsia"/>
                <w:highlight w:val="none"/>
              </w:rPr>
            </w:pPr>
          </w:p>
        </w:tc>
        <w:tc>
          <w:tcPr>
            <w:tcW w:w="1177" w:type="dxa"/>
            <w:noWrap w:val="0"/>
            <w:vAlign w:val="center"/>
          </w:tcPr>
          <w:p>
            <w:pPr>
              <w:rPr>
                <w:rFonts w:hint="eastAsia"/>
                <w:highlight w:val="none"/>
              </w:rPr>
            </w:pPr>
            <w:r>
              <w:rPr>
                <w:rFonts w:hint="eastAsia"/>
                <w:highlight w:val="none"/>
              </w:rPr>
              <w:t>信访事项按期结案率</w:t>
            </w:r>
          </w:p>
        </w:tc>
        <w:tc>
          <w:tcPr>
            <w:tcW w:w="1276" w:type="dxa"/>
            <w:noWrap w:val="0"/>
            <w:vAlign w:val="center"/>
          </w:tcPr>
          <w:p>
            <w:pPr>
              <w:rPr>
                <w:rFonts w:hint="eastAsia"/>
                <w:highlight w:val="none"/>
              </w:rPr>
            </w:pPr>
            <w:r>
              <w:rPr>
                <w:rFonts w:hint="eastAsia"/>
                <w:highlight w:val="none"/>
              </w:rPr>
              <w:t>100%</w:t>
            </w:r>
          </w:p>
        </w:tc>
        <w:tc>
          <w:tcPr>
            <w:tcW w:w="984" w:type="dxa"/>
            <w:noWrap w:val="0"/>
            <w:vAlign w:val="center"/>
          </w:tcPr>
          <w:p>
            <w:pPr>
              <w:rPr>
                <w:rFonts w:hint="eastAsia"/>
                <w:highlight w:val="none"/>
              </w:rPr>
            </w:pPr>
            <w:r>
              <w:rPr>
                <w:rFonts w:hint="eastAsia"/>
                <w:highlight w:val="none"/>
              </w:rPr>
              <w:t>≥95%</w:t>
            </w:r>
          </w:p>
        </w:tc>
        <w:tc>
          <w:tcPr>
            <w:tcW w:w="984" w:type="dxa"/>
            <w:noWrap w:val="0"/>
            <w:vAlign w:val="center"/>
          </w:tcPr>
          <w:p>
            <w:pPr>
              <w:rPr>
                <w:rFonts w:hint="eastAsia"/>
                <w:highlight w:val="none"/>
              </w:rPr>
            </w:pPr>
            <w:r>
              <w:rPr>
                <w:rFonts w:hint="eastAsia"/>
                <w:highlight w:val="none"/>
              </w:rPr>
              <w:t>≥90%</w:t>
            </w:r>
          </w:p>
        </w:tc>
        <w:tc>
          <w:tcPr>
            <w:tcW w:w="1276" w:type="dxa"/>
            <w:noWrap w:val="0"/>
            <w:vAlign w:val="center"/>
          </w:tcPr>
          <w:p>
            <w:pPr>
              <w:rPr>
                <w:rFonts w:hint="eastAsia"/>
                <w:highlight w:val="none"/>
              </w:rPr>
            </w:pPr>
            <w:r>
              <w:rPr>
                <w:rFonts w:hint="eastAsia"/>
                <w:highlight w:val="none"/>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vMerge w:val="restart"/>
            <w:noWrap w:val="0"/>
            <w:vAlign w:val="center"/>
          </w:tcPr>
          <w:p>
            <w:pPr>
              <w:rPr>
                <w:rFonts w:hint="eastAsia"/>
                <w:highlight w:val="none"/>
              </w:rPr>
            </w:pPr>
            <w:r>
              <w:rPr>
                <w:rFonts w:hint="eastAsia"/>
                <w:highlight w:val="none"/>
              </w:rPr>
              <w:t>　　3、信访事项督查、复查复核、听证</w:t>
            </w:r>
          </w:p>
        </w:tc>
        <w:tc>
          <w:tcPr>
            <w:tcW w:w="1632" w:type="dxa"/>
            <w:vMerge w:val="restart"/>
            <w:noWrap w:val="0"/>
            <w:vAlign w:val="center"/>
          </w:tcPr>
          <w:p>
            <w:pPr>
              <w:rPr>
                <w:rFonts w:hint="eastAsia"/>
                <w:highlight w:val="none"/>
              </w:rPr>
            </w:pPr>
            <w:r>
              <w:rPr>
                <w:rFonts w:hint="eastAsia"/>
                <w:highlight w:val="none"/>
              </w:rPr>
              <w:t>60.00</w:t>
            </w:r>
          </w:p>
        </w:tc>
        <w:tc>
          <w:tcPr>
            <w:tcW w:w="2725" w:type="dxa"/>
            <w:vMerge w:val="restart"/>
            <w:noWrap w:val="0"/>
            <w:vAlign w:val="center"/>
          </w:tcPr>
          <w:p>
            <w:pPr>
              <w:rPr>
                <w:rFonts w:hint="eastAsia"/>
                <w:highlight w:val="none"/>
              </w:rPr>
            </w:pPr>
            <w:r>
              <w:rPr>
                <w:rFonts w:hint="eastAsia"/>
                <w:highlight w:val="none"/>
              </w:rPr>
              <w:t>负责指导全县信访督查、复查复核、听证等工作，并对相关事项进行审核、上报；负责信访疑难案件的督办。</w:t>
            </w:r>
          </w:p>
        </w:tc>
        <w:tc>
          <w:tcPr>
            <w:tcW w:w="2559" w:type="dxa"/>
            <w:vMerge w:val="restart"/>
            <w:noWrap w:val="0"/>
            <w:vAlign w:val="center"/>
          </w:tcPr>
          <w:p>
            <w:pPr>
              <w:rPr>
                <w:rFonts w:hint="eastAsia"/>
                <w:highlight w:val="none"/>
              </w:rPr>
            </w:pPr>
            <w:r>
              <w:rPr>
                <w:rFonts w:hint="eastAsia"/>
                <w:highlight w:val="none"/>
              </w:rPr>
              <w:t>推动重要信访事项解决，规范信访事项办理、终结，用好特殊疑难信访问题专项资金。</w:t>
            </w:r>
          </w:p>
        </w:tc>
        <w:tc>
          <w:tcPr>
            <w:tcW w:w="1177" w:type="dxa"/>
            <w:noWrap w:val="0"/>
            <w:vAlign w:val="center"/>
          </w:tcPr>
          <w:p>
            <w:pPr>
              <w:rPr>
                <w:rFonts w:hint="eastAsia"/>
                <w:highlight w:val="none"/>
              </w:rPr>
            </w:pPr>
            <w:r>
              <w:rPr>
                <w:rFonts w:hint="eastAsia"/>
                <w:highlight w:val="none"/>
              </w:rPr>
              <w:t>解决特殊信访疑难问题件数</w:t>
            </w:r>
          </w:p>
        </w:tc>
        <w:tc>
          <w:tcPr>
            <w:tcW w:w="1276" w:type="dxa"/>
            <w:noWrap w:val="0"/>
            <w:vAlign w:val="center"/>
          </w:tcPr>
          <w:p>
            <w:pPr>
              <w:rPr>
                <w:rFonts w:hint="eastAsia"/>
                <w:highlight w:val="none"/>
              </w:rPr>
            </w:pPr>
            <w:r>
              <w:rPr>
                <w:rFonts w:hint="eastAsia"/>
                <w:highlight w:val="none"/>
              </w:rPr>
              <w:t>≥8</w:t>
            </w:r>
          </w:p>
        </w:tc>
        <w:tc>
          <w:tcPr>
            <w:tcW w:w="984" w:type="dxa"/>
            <w:noWrap w:val="0"/>
            <w:vAlign w:val="center"/>
          </w:tcPr>
          <w:p>
            <w:pPr>
              <w:rPr>
                <w:rFonts w:hint="eastAsia"/>
                <w:highlight w:val="none"/>
              </w:rPr>
            </w:pPr>
            <w:r>
              <w:rPr>
                <w:rFonts w:hint="eastAsia"/>
                <w:highlight w:val="none"/>
              </w:rPr>
              <w:t>7</w:t>
            </w:r>
          </w:p>
        </w:tc>
        <w:tc>
          <w:tcPr>
            <w:tcW w:w="984" w:type="dxa"/>
            <w:noWrap w:val="0"/>
            <w:vAlign w:val="center"/>
          </w:tcPr>
          <w:p>
            <w:pPr>
              <w:rPr>
                <w:rFonts w:hint="eastAsia"/>
                <w:highlight w:val="none"/>
              </w:rPr>
            </w:pPr>
            <w:r>
              <w:rPr>
                <w:rFonts w:hint="eastAsia"/>
                <w:highlight w:val="none"/>
              </w:rPr>
              <w:t>6</w:t>
            </w:r>
          </w:p>
        </w:tc>
        <w:tc>
          <w:tcPr>
            <w:tcW w:w="1276" w:type="dxa"/>
            <w:noWrap w:val="0"/>
            <w:vAlign w:val="center"/>
          </w:tcPr>
          <w:p>
            <w:pPr>
              <w:rPr>
                <w:rFonts w:hint="eastAsia"/>
                <w:highlight w:val="none"/>
              </w:rPr>
            </w:pPr>
            <w:r>
              <w:rPr>
                <w:rFonts w:hint="eastAsia"/>
                <w:highlight w:val="none"/>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vMerge w:val="continue"/>
            <w:noWrap w:val="0"/>
            <w:vAlign w:val="center"/>
          </w:tcPr>
          <w:p>
            <w:pPr>
              <w:rPr>
                <w:rFonts w:hint="eastAsia"/>
                <w:highlight w:val="none"/>
              </w:rPr>
            </w:pPr>
          </w:p>
        </w:tc>
        <w:tc>
          <w:tcPr>
            <w:tcW w:w="1632" w:type="dxa"/>
            <w:vMerge w:val="continue"/>
            <w:noWrap w:val="0"/>
            <w:vAlign w:val="center"/>
          </w:tcPr>
          <w:p>
            <w:pPr>
              <w:rPr>
                <w:rFonts w:hint="eastAsia"/>
                <w:highlight w:val="none"/>
              </w:rPr>
            </w:pPr>
          </w:p>
        </w:tc>
        <w:tc>
          <w:tcPr>
            <w:tcW w:w="2725" w:type="dxa"/>
            <w:vMerge w:val="continue"/>
            <w:noWrap w:val="0"/>
            <w:vAlign w:val="center"/>
          </w:tcPr>
          <w:p>
            <w:pPr>
              <w:rPr>
                <w:rFonts w:hint="eastAsia"/>
                <w:highlight w:val="none"/>
              </w:rPr>
            </w:pPr>
          </w:p>
        </w:tc>
        <w:tc>
          <w:tcPr>
            <w:tcW w:w="2559" w:type="dxa"/>
            <w:vMerge w:val="continue"/>
            <w:noWrap w:val="0"/>
            <w:vAlign w:val="center"/>
          </w:tcPr>
          <w:p>
            <w:pPr>
              <w:rPr>
                <w:rFonts w:hint="eastAsia"/>
                <w:highlight w:val="none"/>
              </w:rPr>
            </w:pPr>
          </w:p>
        </w:tc>
        <w:tc>
          <w:tcPr>
            <w:tcW w:w="1177" w:type="dxa"/>
            <w:noWrap w:val="0"/>
            <w:vAlign w:val="center"/>
          </w:tcPr>
          <w:p>
            <w:pPr>
              <w:rPr>
                <w:rFonts w:hint="eastAsia"/>
                <w:highlight w:val="none"/>
              </w:rPr>
            </w:pPr>
            <w:r>
              <w:rPr>
                <w:rFonts w:hint="eastAsia"/>
                <w:highlight w:val="none"/>
              </w:rPr>
              <w:t>督办信访案件数</w:t>
            </w:r>
          </w:p>
        </w:tc>
        <w:tc>
          <w:tcPr>
            <w:tcW w:w="1276" w:type="dxa"/>
            <w:noWrap w:val="0"/>
            <w:vAlign w:val="center"/>
          </w:tcPr>
          <w:p>
            <w:pPr>
              <w:rPr>
                <w:rFonts w:hint="eastAsia"/>
                <w:highlight w:val="none"/>
              </w:rPr>
            </w:pPr>
            <w:r>
              <w:rPr>
                <w:rFonts w:hint="eastAsia"/>
                <w:highlight w:val="none"/>
              </w:rPr>
              <w:t>≥8</w:t>
            </w:r>
          </w:p>
        </w:tc>
        <w:tc>
          <w:tcPr>
            <w:tcW w:w="984" w:type="dxa"/>
            <w:noWrap w:val="0"/>
            <w:vAlign w:val="center"/>
          </w:tcPr>
          <w:p>
            <w:pPr>
              <w:rPr>
                <w:rFonts w:hint="eastAsia"/>
                <w:highlight w:val="none"/>
              </w:rPr>
            </w:pPr>
            <w:r>
              <w:rPr>
                <w:rFonts w:hint="eastAsia"/>
                <w:highlight w:val="none"/>
              </w:rPr>
              <w:t>7</w:t>
            </w:r>
          </w:p>
        </w:tc>
        <w:tc>
          <w:tcPr>
            <w:tcW w:w="984" w:type="dxa"/>
            <w:noWrap w:val="0"/>
            <w:vAlign w:val="center"/>
          </w:tcPr>
          <w:p>
            <w:pPr>
              <w:rPr>
                <w:rFonts w:hint="eastAsia"/>
                <w:highlight w:val="none"/>
              </w:rPr>
            </w:pPr>
            <w:r>
              <w:rPr>
                <w:rFonts w:hint="eastAsia"/>
                <w:highlight w:val="none"/>
              </w:rPr>
              <w:t>6</w:t>
            </w:r>
          </w:p>
        </w:tc>
        <w:tc>
          <w:tcPr>
            <w:tcW w:w="1276" w:type="dxa"/>
            <w:noWrap w:val="0"/>
            <w:vAlign w:val="center"/>
          </w:tcPr>
          <w:p>
            <w:pPr>
              <w:rPr>
                <w:rFonts w:hint="eastAsia"/>
                <w:highlight w:val="none"/>
              </w:rPr>
            </w:pPr>
            <w:r>
              <w:rPr>
                <w:rFonts w:hint="eastAsia"/>
                <w:highlight w:val="none"/>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noWrap w:val="0"/>
            <w:vAlign w:val="center"/>
          </w:tcPr>
          <w:p>
            <w:pPr>
              <w:rPr>
                <w:rFonts w:hint="eastAsia"/>
                <w:highlight w:val="none"/>
              </w:rPr>
            </w:pPr>
            <w:r>
              <w:rPr>
                <w:rFonts w:hint="eastAsia"/>
                <w:highlight w:val="none"/>
              </w:rPr>
              <w:t>二、信访事务管理</w:t>
            </w:r>
          </w:p>
        </w:tc>
        <w:tc>
          <w:tcPr>
            <w:tcW w:w="1632" w:type="dxa"/>
            <w:noWrap w:val="0"/>
            <w:vAlign w:val="center"/>
          </w:tcPr>
          <w:p>
            <w:pPr>
              <w:rPr>
                <w:rFonts w:hint="eastAsia"/>
                <w:highlight w:val="none"/>
              </w:rPr>
            </w:pPr>
          </w:p>
        </w:tc>
        <w:tc>
          <w:tcPr>
            <w:tcW w:w="2725" w:type="dxa"/>
            <w:noWrap w:val="0"/>
            <w:vAlign w:val="center"/>
          </w:tcPr>
          <w:p>
            <w:pPr>
              <w:rPr>
                <w:rFonts w:hint="eastAsia"/>
                <w:highlight w:val="none"/>
              </w:rPr>
            </w:pPr>
            <w:r>
              <w:rPr>
                <w:rFonts w:hint="eastAsia"/>
                <w:highlight w:val="none"/>
              </w:rPr>
              <w:t>调研提出信访工作对策建议；督促检查和指导全县信访工作；机关日常工作。</w:t>
            </w:r>
          </w:p>
        </w:tc>
        <w:tc>
          <w:tcPr>
            <w:tcW w:w="2559" w:type="dxa"/>
            <w:noWrap w:val="0"/>
            <w:vAlign w:val="center"/>
          </w:tcPr>
          <w:p>
            <w:pPr>
              <w:rPr>
                <w:rFonts w:hint="eastAsia"/>
                <w:highlight w:val="none"/>
              </w:rPr>
            </w:pPr>
            <w:r>
              <w:rPr>
                <w:rFonts w:hint="eastAsia"/>
                <w:highlight w:val="none"/>
              </w:rPr>
              <w:t>进一步提高信访干部业务能力；吸收可行建议，改进信访工作；提高信访信息化应用水平，实现办公自动化、网络化智能化。保障机要邮件正常传递和信访群众服务中心正常运转；确保会议正常召开。</w:t>
            </w:r>
          </w:p>
        </w:tc>
        <w:tc>
          <w:tcPr>
            <w:tcW w:w="1177" w:type="dxa"/>
            <w:noWrap w:val="0"/>
            <w:vAlign w:val="center"/>
          </w:tcPr>
          <w:p>
            <w:pPr>
              <w:rPr>
                <w:rFonts w:hint="eastAsia"/>
                <w:highlight w:val="none"/>
              </w:rPr>
            </w:pPr>
          </w:p>
        </w:tc>
        <w:tc>
          <w:tcPr>
            <w:tcW w:w="1276" w:type="dxa"/>
            <w:noWrap w:val="0"/>
            <w:vAlign w:val="center"/>
          </w:tcPr>
          <w:p>
            <w:pPr>
              <w:rPr>
                <w:rFonts w:hint="eastAsia"/>
                <w:highlight w:val="none"/>
              </w:rPr>
            </w:pPr>
          </w:p>
        </w:tc>
        <w:tc>
          <w:tcPr>
            <w:tcW w:w="984" w:type="dxa"/>
            <w:noWrap w:val="0"/>
            <w:vAlign w:val="center"/>
          </w:tcPr>
          <w:p>
            <w:pPr>
              <w:rPr>
                <w:rFonts w:hint="eastAsia"/>
                <w:highlight w:val="none"/>
              </w:rPr>
            </w:pPr>
          </w:p>
        </w:tc>
        <w:tc>
          <w:tcPr>
            <w:tcW w:w="984" w:type="dxa"/>
            <w:noWrap w:val="0"/>
            <w:vAlign w:val="center"/>
          </w:tcPr>
          <w:p>
            <w:pPr>
              <w:rPr>
                <w:rFonts w:hint="eastAsia"/>
                <w:highlight w:val="none"/>
              </w:rPr>
            </w:pPr>
          </w:p>
        </w:tc>
        <w:tc>
          <w:tcPr>
            <w:tcW w:w="1276" w:type="dxa"/>
            <w:noWrap w:val="0"/>
            <w:vAlign w:val="center"/>
          </w:tcPr>
          <w:p>
            <w:pPr>
              <w:rPr>
                <w:rFonts w:hint="eastAsia"/>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noWrap w:val="0"/>
            <w:vAlign w:val="center"/>
          </w:tcPr>
          <w:p>
            <w:pPr>
              <w:rPr>
                <w:rFonts w:hint="eastAsia"/>
                <w:highlight w:val="none"/>
              </w:rPr>
            </w:pPr>
            <w:r>
              <w:rPr>
                <w:rFonts w:hint="eastAsia"/>
                <w:highlight w:val="none"/>
              </w:rPr>
              <w:t>　　1、其他综合事务管理</w:t>
            </w:r>
          </w:p>
        </w:tc>
        <w:tc>
          <w:tcPr>
            <w:tcW w:w="1632" w:type="dxa"/>
            <w:noWrap w:val="0"/>
            <w:vAlign w:val="center"/>
          </w:tcPr>
          <w:p>
            <w:pPr>
              <w:rPr>
                <w:rFonts w:hint="eastAsia"/>
                <w:highlight w:val="none"/>
              </w:rPr>
            </w:pPr>
          </w:p>
        </w:tc>
        <w:tc>
          <w:tcPr>
            <w:tcW w:w="2725" w:type="dxa"/>
            <w:noWrap w:val="0"/>
            <w:vAlign w:val="center"/>
          </w:tcPr>
          <w:p>
            <w:pPr>
              <w:rPr>
                <w:rFonts w:hint="eastAsia"/>
                <w:highlight w:val="none"/>
              </w:rPr>
            </w:pPr>
            <w:r>
              <w:rPr>
                <w:rFonts w:hint="eastAsia"/>
                <w:highlight w:val="none"/>
              </w:rPr>
              <w:t>调研提出信访工作对策建议；督促检查和指导全县信访工作；信息化建设与运维管理；机要邮件正常传递；负责局机关行政后勤、资产、物业管理。</w:t>
            </w:r>
          </w:p>
        </w:tc>
        <w:tc>
          <w:tcPr>
            <w:tcW w:w="2559" w:type="dxa"/>
            <w:noWrap w:val="0"/>
            <w:vAlign w:val="center"/>
          </w:tcPr>
          <w:p>
            <w:pPr>
              <w:rPr>
                <w:rFonts w:hint="eastAsia"/>
                <w:highlight w:val="none"/>
              </w:rPr>
            </w:pPr>
            <w:r>
              <w:rPr>
                <w:rFonts w:hint="eastAsia"/>
                <w:highlight w:val="none"/>
              </w:rPr>
              <w:t>进一步提高信访干部业务能力；吸收可行建议，改进信访工作；提高信访信息化应用水平。保障机要邮件正常传递和信访群众服务中心正常运转；确保会议正常召开。</w:t>
            </w:r>
          </w:p>
        </w:tc>
        <w:tc>
          <w:tcPr>
            <w:tcW w:w="1177" w:type="dxa"/>
            <w:noWrap w:val="0"/>
            <w:vAlign w:val="center"/>
          </w:tcPr>
          <w:p>
            <w:pPr>
              <w:rPr>
                <w:rFonts w:hint="eastAsia"/>
                <w:highlight w:val="none"/>
              </w:rPr>
            </w:pPr>
            <w:r>
              <w:rPr>
                <w:rFonts w:hint="eastAsia"/>
                <w:highlight w:val="none"/>
              </w:rPr>
              <w:t>其他各项综合实务工作完成率</w:t>
            </w:r>
          </w:p>
        </w:tc>
        <w:tc>
          <w:tcPr>
            <w:tcW w:w="1276" w:type="dxa"/>
            <w:noWrap w:val="0"/>
            <w:vAlign w:val="center"/>
          </w:tcPr>
          <w:p>
            <w:pPr>
              <w:rPr>
                <w:rFonts w:hint="eastAsia"/>
                <w:highlight w:val="none"/>
              </w:rPr>
            </w:pPr>
            <w:r>
              <w:rPr>
                <w:rFonts w:hint="eastAsia"/>
                <w:highlight w:val="none"/>
              </w:rPr>
              <w:t>100%</w:t>
            </w:r>
          </w:p>
        </w:tc>
        <w:tc>
          <w:tcPr>
            <w:tcW w:w="984" w:type="dxa"/>
            <w:noWrap w:val="0"/>
            <w:vAlign w:val="center"/>
          </w:tcPr>
          <w:p>
            <w:pPr>
              <w:rPr>
                <w:rFonts w:hint="eastAsia"/>
                <w:highlight w:val="none"/>
              </w:rPr>
            </w:pPr>
            <w:r>
              <w:rPr>
                <w:rFonts w:hint="eastAsia"/>
                <w:highlight w:val="none"/>
              </w:rPr>
              <w:t>≥95%</w:t>
            </w:r>
          </w:p>
        </w:tc>
        <w:tc>
          <w:tcPr>
            <w:tcW w:w="984" w:type="dxa"/>
            <w:noWrap w:val="0"/>
            <w:vAlign w:val="center"/>
          </w:tcPr>
          <w:p>
            <w:pPr>
              <w:rPr>
                <w:rFonts w:hint="eastAsia"/>
                <w:highlight w:val="none"/>
              </w:rPr>
            </w:pPr>
            <w:r>
              <w:rPr>
                <w:rFonts w:hint="eastAsia"/>
                <w:highlight w:val="none"/>
              </w:rPr>
              <w:t>≥90%</w:t>
            </w:r>
          </w:p>
        </w:tc>
        <w:tc>
          <w:tcPr>
            <w:tcW w:w="1276" w:type="dxa"/>
            <w:noWrap w:val="0"/>
            <w:vAlign w:val="center"/>
          </w:tcPr>
          <w:p>
            <w:pPr>
              <w:rPr>
                <w:rFonts w:hint="eastAsia"/>
                <w:highlight w:val="none"/>
              </w:rPr>
            </w:pPr>
            <w:r>
              <w:rPr>
                <w:rFonts w:hint="eastAsia"/>
                <w:highlight w:val="none"/>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noWrap w:val="0"/>
            <w:vAlign w:val="center"/>
          </w:tcPr>
          <w:p>
            <w:pPr>
              <w:rPr>
                <w:rFonts w:hint="eastAsia"/>
                <w:highlight w:val="none"/>
              </w:rPr>
            </w:pPr>
            <w:r>
              <w:rPr>
                <w:rFonts w:hint="eastAsia"/>
                <w:highlight w:val="none"/>
              </w:rPr>
              <w:t>三、群众工作中心</w:t>
            </w:r>
          </w:p>
        </w:tc>
        <w:tc>
          <w:tcPr>
            <w:tcW w:w="1632" w:type="dxa"/>
            <w:noWrap w:val="0"/>
            <w:vAlign w:val="center"/>
          </w:tcPr>
          <w:p>
            <w:pPr>
              <w:rPr>
                <w:rFonts w:hint="eastAsia"/>
                <w:highlight w:val="none"/>
              </w:rPr>
            </w:pPr>
            <w:r>
              <w:rPr>
                <w:rFonts w:hint="eastAsia"/>
                <w:highlight w:val="none"/>
              </w:rPr>
              <w:t>184.72</w:t>
            </w:r>
          </w:p>
        </w:tc>
        <w:tc>
          <w:tcPr>
            <w:tcW w:w="2725" w:type="dxa"/>
            <w:noWrap w:val="0"/>
            <w:vAlign w:val="center"/>
          </w:tcPr>
          <w:p>
            <w:pPr>
              <w:rPr>
                <w:rFonts w:hint="eastAsia"/>
                <w:highlight w:val="none"/>
              </w:rPr>
            </w:pPr>
            <w:r>
              <w:rPr>
                <w:rFonts w:hint="eastAsia"/>
                <w:highlight w:val="none"/>
              </w:rPr>
              <w:t>负责宣传《信访条例》及有关法律法规，教育引导群众依法反映问题，规范信访秩序。承担市委群众工作委员会交办的其它工作事项。</w:t>
            </w:r>
          </w:p>
        </w:tc>
        <w:tc>
          <w:tcPr>
            <w:tcW w:w="2559" w:type="dxa"/>
            <w:noWrap w:val="0"/>
            <w:vAlign w:val="center"/>
          </w:tcPr>
          <w:p>
            <w:pPr>
              <w:rPr>
                <w:rFonts w:hint="eastAsia"/>
                <w:highlight w:val="none"/>
              </w:rPr>
            </w:pPr>
            <w:r>
              <w:rPr>
                <w:rFonts w:hint="eastAsia"/>
                <w:highlight w:val="none"/>
              </w:rPr>
              <w:t>调查社情民意，征集群众意见建议，分析群众工作形势，及时向市委提出完善政策和改进群众工作的建议。维护社会和谐稳定。</w:t>
            </w:r>
          </w:p>
        </w:tc>
        <w:tc>
          <w:tcPr>
            <w:tcW w:w="1177" w:type="dxa"/>
            <w:noWrap w:val="0"/>
            <w:vAlign w:val="center"/>
          </w:tcPr>
          <w:p>
            <w:pPr>
              <w:rPr>
                <w:rFonts w:hint="eastAsia"/>
                <w:highlight w:val="none"/>
              </w:rPr>
            </w:pPr>
          </w:p>
        </w:tc>
        <w:tc>
          <w:tcPr>
            <w:tcW w:w="1276" w:type="dxa"/>
            <w:noWrap w:val="0"/>
            <w:vAlign w:val="center"/>
          </w:tcPr>
          <w:p>
            <w:pPr>
              <w:rPr>
                <w:rFonts w:hint="eastAsia"/>
                <w:highlight w:val="none"/>
              </w:rPr>
            </w:pPr>
          </w:p>
        </w:tc>
        <w:tc>
          <w:tcPr>
            <w:tcW w:w="984" w:type="dxa"/>
            <w:noWrap w:val="0"/>
            <w:vAlign w:val="center"/>
          </w:tcPr>
          <w:p>
            <w:pPr>
              <w:rPr>
                <w:rFonts w:hint="eastAsia"/>
                <w:highlight w:val="none"/>
              </w:rPr>
            </w:pPr>
          </w:p>
        </w:tc>
        <w:tc>
          <w:tcPr>
            <w:tcW w:w="984" w:type="dxa"/>
            <w:noWrap w:val="0"/>
            <w:vAlign w:val="center"/>
          </w:tcPr>
          <w:p>
            <w:pPr>
              <w:rPr>
                <w:rFonts w:hint="eastAsia"/>
                <w:highlight w:val="none"/>
              </w:rPr>
            </w:pPr>
          </w:p>
        </w:tc>
        <w:tc>
          <w:tcPr>
            <w:tcW w:w="1276" w:type="dxa"/>
            <w:noWrap w:val="0"/>
            <w:vAlign w:val="center"/>
          </w:tcPr>
          <w:p>
            <w:pPr>
              <w:rPr>
                <w:rFonts w:hint="eastAsia"/>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561" w:type="dxa"/>
            <w:noWrap w:val="0"/>
            <w:vAlign w:val="center"/>
          </w:tcPr>
          <w:p>
            <w:pPr>
              <w:rPr>
                <w:rFonts w:hint="eastAsia"/>
                <w:highlight w:val="none"/>
              </w:rPr>
            </w:pPr>
            <w:r>
              <w:rPr>
                <w:rFonts w:hint="eastAsia"/>
                <w:highlight w:val="none"/>
              </w:rPr>
              <w:t>　　1、群众工作</w:t>
            </w:r>
          </w:p>
        </w:tc>
        <w:tc>
          <w:tcPr>
            <w:tcW w:w="1632" w:type="dxa"/>
            <w:noWrap w:val="0"/>
            <w:vAlign w:val="center"/>
          </w:tcPr>
          <w:p>
            <w:pPr>
              <w:rPr>
                <w:rFonts w:hint="eastAsia"/>
                <w:highlight w:val="none"/>
              </w:rPr>
            </w:pPr>
            <w:r>
              <w:rPr>
                <w:rFonts w:hint="eastAsia"/>
                <w:highlight w:val="none"/>
              </w:rPr>
              <w:t>184.72</w:t>
            </w:r>
          </w:p>
        </w:tc>
        <w:tc>
          <w:tcPr>
            <w:tcW w:w="2725" w:type="dxa"/>
            <w:noWrap w:val="0"/>
            <w:vAlign w:val="center"/>
          </w:tcPr>
          <w:p>
            <w:pPr>
              <w:rPr>
                <w:rFonts w:hint="eastAsia"/>
                <w:highlight w:val="none"/>
              </w:rPr>
            </w:pPr>
            <w:r>
              <w:rPr>
                <w:rFonts w:hint="eastAsia"/>
                <w:highlight w:val="none"/>
              </w:rPr>
              <w:t>负责接待处理群众到市上访，组织市直部门开展联合接访，协调市级领导开展接访约访，下访活动。建立三级调处机制，组织、协调重大复杂矛盾纠纷和信访突出问题，解释解答群众咨询相关问题，做好群众的思想疏导工作。</w:t>
            </w:r>
          </w:p>
        </w:tc>
        <w:tc>
          <w:tcPr>
            <w:tcW w:w="2559" w:type="dxa"/>
            <w:noWrap w:val="0"/>
            <w:vAlign w:val="center"/>
          </w:tcPr>
          <w:p>
            <w:pPr>
              <w:rPr>
                <w:rFonts w:hint="eastAsia"/>
                <w:highlight w:val="none"/>
              </w:rPr>
            </w:pPr>
            <w:r>
              <w:rPr>
                <w:rFonts w:hint="eastAsia"/>
                <w:highlight w:val="none"/>
              </w:rPr>
              <w:t>总结推广群众群众工作方面的先进典型和经验，推动群众工作机制创新。</w:t>
            </w:r>
          </w:p>
        </w:tc>
        <w:tc>
          <w:tcPr>
            <w:tcW w:w="1177" w:type="dxa"/>
            <w:noWrap w:val="0"/>
            <w:vAlign w:val="center"/>
          </w:tcPr>
          <w:p>
            <w:pPr>
              <w:rPr>
                <w:rFonts w:hint="eastAsia"/>
                <w:highlight w:val="none"/>
              </w:rPr>
            </w:pPr>
            <w:r>
              <w:rPr>
                <w:rFonts w:hint="eastAsia"/>
                <w:highlight w:val="none"/>
              </w:rPr>
              <w:t>信访事项按期结案率</w:t>
            </w:r>
          </w:p>
        </w:tc>
        <w:tc>
          <w:tcPr>
            <w:tcW w:w="1276" w:type="dxa"/>
            <w:noWrap w:val="0"/>
            <w:vAlign w:val="center"/>
          </w:tcPr>
          <w:p>
            <w:pPr>
              <w:rPr>
                <w:rFonts w:hint="eastAsia"/>
                <w:highlight w:val="none"/>
              </w:rPr>
            </w:pPr>
            <w:r>
              <w:rPr>
                <w:rFonts w:hint="eastAsia"/>
                <w:highlight w:val="none"/>
              </w:rPr>
              <w:t>100%</w:t>
            </w:r>
          </w:p>
        </w:tc>
        <w:tc>
          <w:tcPr>
            <w:tcW w:w="984" w:type="dxa"/>
            <w:noWrap w:val="0"/>
            <w:vAlign w:val="center"/>
          </w:tcPr>
          <w:p>
            <w:pPr>
              <w:rPr>
                <w:rFonts w:hint="eastAsia"/>
                <w:highlight w:val="none"/>
              </w:rPr>
            </w:pPr>
            <w:r>
              <w:rPr>
                <w:rFonts w:hint="eastAsia"/>
                <w:highlight w:val="none"/>
              </w:rPr>
              <w:t>≥95%</w:t>
            </w:r>
          </w:p>
        </w:tc>
        <w:tc>
          <w:tcPr>
            <w:tcW w:w="984" w:type="dxa"/>
            <w:noWrap w:val="0"/>
            <w:vAlign w:val="center"/>
          </w:tcPr>
          <w:p>
            <w:pPr>
              <w:rPr>
                <w:rFonts w:hint="eastAsia"/>
                <w:highlight w:val="none"/>
              </w:rPr>
            </w:pPr>
            <w:r>
              <w:rPr>
                <w:rFonts w:hint="eastAsia"/>
                <w:highlight w:val="none"/>
              </w:rPr>
              <w:t>≥90%</w:t>
            </w:r>
          </w:p>
        </w:tc>
        <w:tc>
          <w:tcPr>
            <w:tcW w:w="1276" w:type="dxa"/>
            <w:noWrap w:val="0"/>
            <w:vAlign w:val="center"/>
          </w:tcPr>
          <w:p>
            <w:pPr>
              <w:rPr>
                <w:rFonts w:hint="eastAsia"/>
                <w:highlight w:val="none"/>
              </w:rPr>
            </w:pPr>
            <w:r>
              <w:rPr>
                <w:rFonts w:hint="eastAsia"/>
                <w:highlight w:val="none"/>
              </w:rPr>
              <w:t>&lt;90%</w:t>
            </w:r>
          </w:p>
        </w:tc>
      </w:tr>
    </w:tbl>
    <w:p>
      <w:pPr>
        <w:ind w:firstLine="640" w:firstLineChars="200"/>
        <w:rPr>
          <w:rFonts w:hint="eastAsia" w:ascii="黑体" w:hAnsi="黑体" w:eastAsia="黑体" w:cs="Times New Roman"/>
          <w:sz w:val="32"/>
          <w:szCs w:val="32"/>
          <w:highlight w:val="none"/>
        </w:rPr>
      </w:pPr>
    </w:p>
    <w:p>
      <w:pPr>
        <w:ind w:firstLine="640" w:firstLineChars="200"/>
        <w:rPr>
          <w:rFonts w:hint="eastAsia" w:ascii="黑体" w:hAnsi="黑体" w:eastAsia="黑体" w:cs="Times New Roman"/>
          <w:sz w:val="32"/>
          <w:szCs w:val="32"/>
          <w:highlight w:val="none"/>
        </w:rPr>
      </w:pPr>
    </w:p>
    <w:p>
      <w:pPr>
        <w:ind w:firstLine="640" w:firstLineChars="200"/>
        <w:rPr>
          <w:rFonts w:hint="eastAsia" w:ascii="黑体" w:hAnsi="黑体" w:eastAsia="黑体" w:cs="Times New Roman"/>
          <w:sz w:val="32"/>
          <w:szCs w:val="32"/>
          <w:highlight w:val="none"/>
        </w:rPr>
      </w:pPr>
    </w:p>
    <w:p>
      <w:pPr>
        <w:ind w:firstLine="640" w:firstLineChars="200"/>
        <w:rPr>
          <w:rFonts w:hint="eastAsia" w:ascii="黑体" w:hAnsi="黑体" w:eastAsia="黑体" w:cs="Times New Roman"/>
          <w:sz w:val="32"/>
          <w:szCs w:val="32"/>
          <w:highlight w:val="none"/>
        </w:rPr>
      </w:pPr>
    </w:p>
    <w:p>
      <w:pPr>
        <w:ind w:firstLine="640" w:firstLineChars="200"/>
        <w:rPr>
          <w:rFonts w:hint="eastAsia" w:ascii="黑体" w:hAnsi="黑体" w:eastAsia="黑体" w:cs="Times New Roman"/>
          <w:sz w:val="32"/>
          <w:szCs w:val="32"/>
          <w:highlight w:val="none"/>
        </w:rPr>
      </w:pPr>
    </w:p>
    <w:p>
      <w:pPr>
        <w:ind w:firstLine="640" w:firstLineChars="200"/>
        <w:rPr>
          <w:rFonts w:hint="eastAsia" w:ascii="黑体" w:hAnsi="黑体" w:eastAsia="黑体" w:cs="Times New Roman"/>
          <w:sz w:val="32"/>
          <w:szCs w:val="32"/>
          <w:highlight w:val="none"/>
        </w:rPr>
      </w:pP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六、政府采购预算情况</w:t>
      </w:r>
    </w:p>
    <w:p>
      <w:pPr>
        <w:ind w:firstLine="640" w:firstLineChars="200"/>
        <w:rPr>
          <w:rFonts w:ascii="仿宋_GB2312" w:hAnsi="Times New Roman" w:eastAsia="仿宋_GB2312" w:cs="Times New Roman"/>
          <w:color w:val="FF0000"/>
          <w:sz w:val="32"/>
          <w:szCs w:val="32"/>
          <w:highlight w:val="none"/>
        </w:rPr>
      </w:pPr>
      <w:bookmarkStart w:id="2" w:name="_Toc471398468"/>
      <w:r>
        <w:rPr>
          <w:rFonts w:hint="eastAsia" w:ascii="仿宋_GB2312" w:hAnsi="Times New Roman" w:eastAsia="仿宋_GB2312" w:cs="Times New Roman"/>
          <w:color w:val="auto"/>
          <w:sz w:val="32"/>
          <w:szCs w:val="32"/>
          <w:highlight w:val="none"/>
        </w:rPr>
        <w:t>2019年，我部门</w:t>
      </w:r>
      <w:r>
        <w:rPr>
          <w:rFonts w:hint="eastAsia" w:ascii="仿宋_GB2312" w:hAnsi="Times New Roman" w:eastAsia="仿宋_GB2312" w:cs="Times New Roman"/>
          <w:color w:val="auto"/>
          <w:sz w:val="32"/>
          <w:szCs w:val="32"/>
          <w:highlight w:val="none"/>
          <w:lang w:val="en-US" w:eastAsia="zh-CN"/>
        </w:rPr>
        <w:t>无</w:t>
      </w:r>
      <w:r>
        <w:rPr>
          <w:rFonts w:hint="eastAsia" w:ascii="仿宋_GB2312" w:hAnsi="Times New Roman" w:eastAsia="仿宋_GB2312" w:cs="Times New Roman"/>
          <w:color w:val="auto"/>
          <w:sz w:val="32"/>
          <w:szCs w:val="32"/>
          <w:highlight w:val="none"/>
        </w:rPr>
        <w:t>安排政府采购预算。</w:t>
      </w:r>
    </w:p>
    <w:p>
      <w:pPr>
        <w:jc w:val="center"/>
        <w:outlineLvl w:val="0"/>
        <w:rPr>
          <w:rFonts w:ascii="方正小标宋_GBK" w:hAnsi="Times New Roman" w:eastAsia="方正小标宋_GBK" w:cs="Times New Roman"/>
          <w:sz w:val="32"/>
          <w:szCs w:val="24"/>
          <w:highlight w:val="none"/>
        </w:rPr>
      </w:pPr>
      <w:r>
        <w:rPr>
          <w:rFonts w:hint="eastAsia" w:ascii="方正小标宋_GBK" w:hAnsi="Times New Roman" w:eastAsia="方正小标宋_GBK" w:cs="Times New Roman"/>
          <w:sz w:val="32"/>
          <w:szCs w:val="24"/>
          <w:highlight w:val="none"/>
        </w:rPr>
        <w:t>部门政府采购预算</w:t>
      </w:r>
      <w:bookmarkEnd w:id="2"/>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七、国有资产信息</w:t>
      </w:r>
    </w:p>
    <w:p>
      <w:pPr>
        <w:ind w:firstLine="640" w:firstLineChars="200"/>
        <w:rPr>
          <w:rFonts w:ascii="仿宋_GB2312" w:hAnsi="Times New Roman" w:eastAsia="仿宋_GB2312" w:cs="Times New Roman"/>
          <w:color w:val="000000" w:themeColor="text1"/>
          <w:sz w:val="32"/>
          <w:szCs w:val="32"/>
          <w:highlight w:val="none"/>
        </w:rPr>
      </w:pPr>
      <w:r>
        <w:rPr>
          <w:rFonts w:hint="eastAsia" w:ascii="仿宋_GB2312" w:hAnsi="黑体" w:eastAsia="仿宋_GB2312" w:cs="Times New Roman"/>
          <w:sz w:val="32"/>
          <w:szCs w:val="32"/>
          <w:highlight w:val="none"/>
        </w:rPr>
        <w:t>霸州市</w:t>
      </w:r>
      <w:r>
        <w:rPr>
          <w:rFonts w:hint="eastAsia" w:ascii="仿宋_GB2312" w:hAnsi="黑体" w:eastAsia="仿宋_GB2312" w:cs="Times New Roman"/>
          <w:sz w:val="32"/>
          <w:szCs w:val="32"/>
          <w:highlight w:val="none"/>
          <w:lang w:val="en-US" w:eastAsia="zh-CN"/>
        </w:rPr>
        <w:t>信访局</w:t>
      </w:r>
      <w:r>
        <w:rPr>
          <w:rFonts w:hint="eastAsia" w:ascii="仿宋_GB2312" w:hAnsi="黑体" w:eastAsia="仿宋_GB2312" w:cs="Times New Roman"/>
          <w:sz w:val="32"/>
          <w:szCs w:val="32"/>
          <w:highlight w:val="none"/>
        </w:rPr>
        <w:t>上年末固定资产金额为</w:t>
      </w:r>
      <w:r>
        <w:rPr>
          <w:rFonts w:hint="eastAsia" w:ascii="仿宋_GB2312" w:hAnsi="黑体" w:eastAsia="仿宋_GB2312" w:cs="Times New Roman"/>
          <w:sz w:val="32"/>
          <w:szCs w:val="32"/>
          <w:highlight w:val="none"/>
          <w:lang w:val="en-US" w:eastAsia="zh-CN"/>
        </w:rPr>
        <w:t>91.98</w:t>
      </w:r>
      <w:r>
        <w:rPr>
          <w:rFonts w:hint="eastAsia" w:ascii="仿宋_GB2312" w:hAnsi="黑体" w:eastAsia="仿宋_GB2312" w:cs="Times New Roman"/>
          <w:sz w:val="32"/>
          <w:szCs w:val="32"/>
          <w:highlight w:val="none"/>
        </w:rPr>
        <w:t>万元（详见下表）。</w:t>
      </w:r>
      <w:r>
        <w:rPr>
          <w:rFonts w:ascii="仿宋_GB2312" w:hAnsi="黑体" w:eastAsia="仿宋_GB2312" w:cs="Times New Roman"/>
          <w:b/>
          <w:color w:val="auto"/>
          <w:sz w:val="32"/>
          <w:szCs w:val="32"/>
          <w:highlight w:val="none"/>
        </w:rPr>
        <w:t>2019</w:t>
      </w:r>
      <w:r>
        <w:rPr>
          <w:rFonts w:hint="eastAsia" w:ascii="仿宋_GB2312" w:hAnsi="黑体" w:eastAsia="仿宋_GB2312" w:cs="Times New Roman"/>
          <w:b/>
          <w:color w:val="auto"/>
          <w:sz w:val="32"/>
          <w:szCs w:val="32"/>
          <w:highlight w:val="none"/>
        </w:rPr>
        <w:t>年</w:t>
      </w:r>
      <w:r>
        <w:rPr>
          <w:rFonts w:ascii="仿宋_GB2312" w:hAnsi="黑体" w:eastAsia="仿宋_GB2312" w:cs="Times New Roman"/>
          <w:b/>
          <w:color w:val="auto"/>
          <w:sz w:val="32"/>
          <w:szCs w:val="32"/>
          <w:highlight w:val="none"/>
        </w:rPr>
        <w:t>，我部门无新增固定资产计划</w:t>
      </w:r>
      <w:r>
        <w:rPr>
          <w:rFonts w:hint="eastAsia" w:ascii="仿宋_GB2312" w:hAnsi="黑体" w:eastAsia="仿宋_GB2312" w:cs="Times New Roman"/>
          <w:b/>
          <w:color w:val="auto"/>
          <w:sz w:val="32"/>
          <w:szCs w:val="32"/>
          <w:highlight w:val="none"/>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highlight w:val="none"/>
              </w:rPr>
            </w:pPr>
          </w:p>
          <w:p>
            <w:pPr>
              <w:widowControl/>
              <w:jc w:val="center"/>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霸州市</w:t>
            </w:r>
            <w:r>
              <w:rPr>
                <w:rFonts w:hint="eastAsia" w:ascii="宋体" w:hAnsi="宋体" w:eastAsia="宋体" w:cs="宋体"/>
                <w:b/>
                <w:bCs/>
                <w:kern w:val="0"/>
                <w:sz w:val="32"/>
                <w:szCs w:val="32"/>
                <w:highlight w:val="none"/>
                <w:lang w:val="en-US" w:eastAsia="zh-CN"/>
              </w:rPr>
              <w:t>信访局</w:t>
            </w:r>
            <w:r>
              <w:rPr>
                <w:rFonts w:hint="eastAsia" w:ascii="宋体" w:hAnsi="宋体" w:eastAsia="宋体" w:cs="宋体"/>
                <w:b/>
                <w:bCs/>
                <w:kern w:val="0"/>
                <w:sz w:val="32"/>
                <w:szCs w:val="32"/>
                <w:highlight w:val="none"/>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rPr>
              <w:t>编制部门：</w:t>
            </w:r>
            <w:r>
              <w:rPr>
                <w:rFonts w:hint="eastAsia" w:ascii="宋体" w:hAnsi="宋体" w:eastAsia="宋体" w:cs="宋体"/>
                <w:kern w:val="0"/>
                <w:sz w:val="22"/>
                <w:highlight w:val="none"/>
                <w:lang w:val="en-US" w:eastAsia="zh-CN"/>
              </w:rPr>
              <w:t>107霸州市信访局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highlight w:val="none"/>
              </w:rPr>
            </w:pPr>
            <w:r>
              <w:rPr>
                <w:rFonts w:hint="eastAsia" w:ascii="宋体" w:hAnsi="宋体" w:eastAsia="宋体" w:cs="宋体"/>
                <w:kern w:val="0"/>
                <w:sz w:val="22"/>
                <w:highlight w:val="none"/>
              </w:rPr>
              <w:t xml:space="preserve">截止时间：2018年12月31日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highlight w:val="none"/>
              </w:rPr>
            </w:pPr>
            <w:r>
              <w:rPr>
                <w:rFonts w:hint="eastAsia" w:ascii="宋体" w:hAnsi="宋体" w:eastAsia="宋体" w:cs="宋体"/>
                <w:b/>
                <w:bCs/>
                <w:kern w:val="0"/>
                <w:sz w:val="22"/>
                <w:highlight w:val="none"/>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highlight w:val="none"/>
              </w:rPr>
            </w:pPr>
            <w:r>
              <w:rPr>
                <w:rFonts w:hint="eastAsia" w:ascii="宋体" w:hAnsi="宋体" w:eastAsia="宋体" w:cs="宋体"/>
                <w:b/>
                <w:bCs/>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highlight w:val="none"/>
              </w:rPr>
            </w:pPr>
            <w:r>
              <w:rPr>
                <w:rFonts w:hint="eastAsia" w:ascii="宋体" w:hAnsi="宋体" w:eastAsia="宋体" w:cs="宋体"/>
                <w:b/>
                <w:bCs/>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r>
              <w:rPr>
                <w:rFonts w:hint="eastAsia" w:ascii="宋体" w:hAnsi="宋体" w:eastAsia="宋体" w:cs="宋体"/>
                <w:kern w:val="0"/>
                <w:sz w:val="22"/>
                <w:highlight w:val="none"/>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91.98</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17.98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74</w:t>
            </w:r>
          </w:p>
        </w:tc>
      </w:tr>
    </w:tbl>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八、名词解释</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w:t>
      </w:r>
      <w:r>
        <w:rPr>
          <w:rFonts w:ascii="仿宋_GB2312" w:hAnsi="黑体" w:eastAsia="仿宋_GB2312" w:cs="Times New Roman"/>
          <w:sz w:val="32"/>
          <w:szCs w:val="32"/>
          <w:highlight w:val="none"/>
        </w:rPr>
        <w:t xml:space="preserve">   </w:t>
      </w:r>
      <w:r>
        <w:rPr>
          <w:rFonts w:hint="eastAsia" w:ascii="仿宋_GB2312" w:hAnsi="黑体" w:eastAsia="仿宋_GB2312" w:cs="Times New Roman"/>
          <w:sz w:val="32"/>
          <w:szCs w:val="32"/>
          <w:highlight w:val="none"/>
        </w:rPr>
        <w:t>1、一般公共预算拨款收入：指市级财政当年拨付的资金。</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2、事业收入：指事业单位开展专业业务活动及辅助活动所取得的收入。</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4、基本支出：指为保障机构正常运转、完成日常工作任务而发生的人员支出和公用支出。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5、项目支出：指在基本支出之外为完成特定行政任务和事业发展目标所发生的支出。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6、上缴上级支出：指下级单位上缴上级的支出。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九、其他需要说明的事项</w:t>
      </w:r>
    </w:p>
    <w:p>
      <w:pPr>
        <w:ind w:firstLine="640"/>
        <w:rPr>
          <w:rFonts w:ascii="仿宋_GB2312" w:hAnsi="黑体" w:eastAsia="仿宋_GB2312" w:cs="Times New Roman"/>
          <w:sz w:val="32"/>
          <w:szCs w:val="32"/>
          <w:highlight w:val="none"/>
        </w:rPr>
      </w:pPr>
      <w:r>
        <w:rPr>
          <w:rFonts w:hint="eastAsia" w:ascii="仿宋_GB2312" w:hAnsi="黑体" w:eastAsia="仿宋_GB2312" w:cs="Times New Roman"/>
          <w:sz w:val="32"/>
          <w:szCs w:val="32"/>
          <w:highlight w:val="none"/>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宋体-方正超大字符集"/>
    <w:panose1 w:val="00000000000000000000"/>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3FB11845"/>
    <w:rsid w:val="4DBA3190"/>
    <w:rsid w:val="4E8C041E"/>
    <w:rsid w:val="4FDF3761"/>
    <w:rsid w:val="558A695A"/>
    <w:rsid w:val="6E8E58D9"/>
    <w:rsid w:val="781165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1</TotalTime>
  <ScaleCrop>false</ScaleCrop>
  <LinksUpToDate>false</LinksUpToDate>
  <CharactersWithSpaces>2972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2021-05-24T08:27:14Z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51C4FEDA0C1A41979B625C9B39524DF5</vt:lpwstr>
  </property>
</Properties>
</file>